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94A6" w14:textId="77777777" w:rsidR="007349C1" w:rsidRDefault="007349C1">
      <w:pPr>
        <w:rPr>
          <w:rFonts w:ascii="Open Sans" w:hAnsi="Open Sans" w:cs="Open San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349C1" w:rsidRPr="00463463" w14:paraId="2CE2DC89" w14:textId="77777777" w:rsidTr="006A160A">
        <w:tc>
          <w:tcPr>
            <w:tcW w:w="9350" w:type="dxa"/>
          </w:tcPr>
          <w:p w14:paraId="1EE75CE1" w14:textId="3B352768" w:rsidR="007349C1" w:rsidRPr="00463463" w:rsidRDefault="007349C1" w:rsidP="006A160A">
            <w:pPr>
              <w:rPr>
                <w:rFonts w:ascii="Open Sans" w:hAnsi="Open Sans" w:cs="Open Sans"/>
              </w:rPr>
            </w:pPr>
          </w:p>
        </w:tc>
      </w:tr>
      <w:tr w:rsidR="007349C1" w:rsidRPr="00463463" w14:paraId="4763804B" w14:textId="77777777" w:rsidTr="006A160A">
        <w:tc>
          <w:tcPr>
            <w:tcW w:w="9350" w:type="dxa"/>
          </w:tcPr>
          <w:p w14:paraId="16334179" w14:textId="0135960E" w:rsidR="007349C1" w:rsidRPr="00463463" w:rsidRDefault="007349C1" w:rsidP="006A160A">
            <w:pPr>
              <w:rPr>
                <w:rFonts w:ascii="Open Sans Light" w:hAnsi="Open Sans Light" w:cs="Open Sans Light"/>
              </w:rPr>
            </w:pPr>
          </w:p>
        </w:tc>
      </w:tr>
      <w:tr w:rsidR="007349C1" w:rsidRPr="00463463" w14:paraId="0B18DECD" w14:textId="77777777" w:rsidTr="006A160A">
        <w:tc>
          <w:tcPr>
            <w:tcW w:w="9350" w:type="dxa"/>
          </w:tcPr>
          <w:p w14:paraId="4F3DA612" w14:textId="77777777" w:rsidR="007349C1" w:rsidRPr="00463463" w:rsidRDefault="007349C1" w:rsidP="006A160A">
            <w:pPr>
              <w:ind w:left="720" w:hanging="720"/>
              <w:rPr>
                <w:rFonts w:ascii="Open Sans" w:hAnsi="Open Sans" w:cs="Open Sans"/>
              </w:rPr>
            </w:pPr>
          </w:p>
        </w:tc>
      </w:tr>
      <w:tr w:rsidR="007349C1" w:rsidRPr="00463463" w14:paraId="232B0796" w14:textId="77777777" w:rsidTr="006A160A">
        <w:tc>
          <w:tcPr>
            <w:tcW w:w="9350" w:type="dxa"/>
          </w:tcPr>
          <w:p w14:paraId="54282547" w14:textId="77777777" w:rsidR="007349C1" w:rsidRPr="00463463" w:rsidRDefault="007349C1" w:rsidP="006A160A">
            <w:pPr>
              <w:ind w:left="720" w:hanging="720"/>
              <w:rPr>
                <w:rFonts w:ascii="Open Sans Light" w:hAnsi="Open Sans Light" w:cs="Open Sans Light"/>
              </w:rPr>
            </w:pPr>
            <w:r w:rsidRPr="00463463">
              <w:rPr>
                <w:rFonts w:ascii="Open Sans Light" w:hAnsi="Open Sans Light" w:cs="Open Sans Light"/>
                <w:sz w:val="20"/>
                <w:szCs w:val="20"/>
              </w:rPr>
              <w:t>Documentation</w:t>
            </w:r>
            <w:r w:rsidR="00D411C3">
              <w:rPr>
                <w:rFonts w:ascii="Open Sans Light" w:hAnsi="Open Sans Light" w:cs="Open Sans Light"/>
                <w:sz w:val="20"/>
                <w:szCs w:val="20"/>
              </w:rPr>
              <w:t xml:space="preserve"> and review</w:t>
            </w:r>
            <w:r w:rsidRPr="00463463">
              <w:rPr>
                <w:rFonts w:ascii="Open Sans Light" w:hAnsi="Open Sans Light" w:cs="Open Sans Light"/>
                <w:sz w:val="20"/>
                <w:szCs w:val="20"/>
              </w:rPr>
              <w:t xml:space="preserve"> of emergency response to the</w:t>
            </w:r>
          </w:p>
        </w:tc>
      </w:tr>
      <w:tr w:rsidR="007349C1" w:rsidRPr="00463463" w14:paraId="4B2D41A9" w14:textId="77777777" w:rsidTr="006A160A">
        <w:tc>
          <w:tcPr>
            <w:tcW w:w="9350" w:type="dxa"/>
          </w:tcPr>
          <w:p w14:paraId="70972B52" w14:textId="47EAC993" w:rsidR="00360987" w:rsidRDefault="00360987" w:rsidP="006A160A">
            <w:pPr>
              <w:ind w:left="720" w:hanging="72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Northeast Tennessee Healthcare Preparedness Coalition</w:t>
            </w:r>
          </w:p>
          <w:p w14:paraId="44CEC375" w14:textId="2B409927" w:rsidR="007349C1" w:rsidRPr="00463463" w:rsidRDefault="00360987" w:rsidP="006A160A">
            <w:pPr>
              <w:ind w:left="720" w:hanging="7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2022 Full-Scale Exercise</w:t>
            </w:r>
          </w:p>
        </w:tc>
      </w:tr>
      <w:tr w:rsidR="007349C1" w:rsidRPr="00463463" w14:paraId="10DC74D6" w14:textId="77777777" w:rsidTr="006A160A">
        <w:tc>
          <w:tcPr>
            <w:tcW w:w="9350" w:type="dxa"/>
          </w:tcPr>
          <w:p w14:paraId="223CC84A" w14:textId="66630B11" w:rsidR="007349C1" w:rsidRPr="00463463" w:rsidRDefault="00360987" w:rsidP="006A160A">
            <w:pPr>
              <w:ind w:left="720" w:hanging="72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Cyber-Security Attack / Extended Power Outage / Burn Surge</w:t>
            </w:r>
          </w:p>
        </w:tc>
      </w:tr>
      <w:tr w:rsidR="007349C1" w:rsidRPr="00463463" w14:paraId="290FE980" w14:textId="77777777" w:rsidTr="006A160A">
        <w:tc>
          <w:tcPr>
            <w:tcW w:w="9350" w:type="dxa"/>
          </w:tcPr>
          <w:p w14:paraId="747AE0D3" w14:textId="77777777" w:rsidR="007349C1" w:rsidRPr="00463463" w:rsidRDefault="007349C1" w:rsidP="006A160A">
            <w:pPr>
              <w:ind w:left="720" w:hanging="720"/>
              <w:rPr>
                <w:rFonts w:ascii="Open Sans" w:hAnsi="Open Sans" w:cs="Open Sans"/>
              </w:rPr>
            </w:pPr>
          </w:p>
        </w:tc>
      </w:tr>
      <w:tr w:rsidR="007349C1" w:rsidRPr="00463463" w14:paraId="0A9232BB" w14:textId="77777777" w:rsidTr="006A160A">
        <w:tc>
          <w:tcPr>
            <w:tcW w:w="9350" w:type="dxa"/>
          </w:tcPr>
          <w:p w14:paraId="627DAE3D" w14:textId="7FCA3F52" w:rsidR="007349C1" w:rsidRPr="00463463" w:rsidRDefault="007349C1" w:rsidP="006A160A">
            <w:pPr>
              <w:rPr>
                <w:rFonts w:ascii="Open Sans" w:hAnsi="Open Sans" w:cs="Open Sans"/>
              </w:rPr>
            </w:pPr>
          </w:p>
        </w:tc>
      </w:tr>
      <w:tr w:rsidR="00591D07" w:rsidRPr="00463463" w14:paraId="0C5658BC" w14:textId="77777777" w:rsidTr="00591D07">
        <w:trPr>
          <w:trHeight w:val="8613"/>
        </w:trPr>
        <w:tc>
          <w:tcPr>
            <w:tcW w:w="9350" w:type="dxa"/>
            <w:vAlign w:val="bottom"/>
          </w:tcPr>
          <w:p w14:paraId="25B0D7DF" w14:textId="77777777" w:rsidR="00591D07" w:rsidRDefault="00D60D4C" w:rsidP="00591D07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3DA5A3E1" wp14:editId="168CCF53">
                  <wp:extent cx="1837690" cy="897837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41" cy="93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6EC27" w14:textId="77777777" w:rsidR="007349C1" w:rsidRDefault="007349C1" w:rsidP="007349C1">
      <w:pPr>
        <w:rPr>
          <w:rFonts w:ascii="Open Sans" w:hAnsi="Open Sans" w:cs="Open Sans"/>
        </w:rPr>
      </w:pPr>
    </w:p>
    <w:p w14:paraId="23EE756D" w14:textId="77777777" w:rsidR="009D7CB8" w:rsidRDefault="009D7CB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W w:w="9565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53"/>
        <w:gridCol w:w="7583"/>
        <w:gridCol w:w="10"/>
      </w:tblGrid>
      <w:tr w:rsidR="009D7CB8" w:rsidRPr="009D7CB8" w14:paraId="65B235DC" w14:textId="77777777" w:rsidTr="00DC4A47">
        <w:trPr>
          <w:gridAfter w:val="1"/>
          <w:wAfter w:w="10" w:type="dxa"/>
          <w:trHeight w:val="936"/>
        </w:trPr>
        <w:tc>
          <w:tcPr>
            <w:tcW w:w="1819" w:type="dxa"/>
            <w:tcBorders>
              <w:bottom w:val="single" w:sz="48" w:space="0" w:color="FFFFFF"/>
            </w:tcBorders>
            <w:shd w:val="clear" w:color="auto" w:fill="000080"/>
            <w:vAlign w:val="center"/>
          </w:tcPr>
          <w:p w14:paraId="0E1BA799" w14:textId="77777777" w:rsidR="009D7CB8" w:rsidRPr="009D7CB8" w:rsidRDefault="009D7CB8" w:rsidP="006A160A">
            <w:pPr>
              <w:pStyle w:val="TableParagraph"/>
              <w:ind w:left="49" w:right="5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7CB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lastRenderedPageBreak/>
              <w:t>Real-World Incident Name</w:t>
            </w:r>
          </w:p>
        </w:tc>
        <w:tc>
          <w:tcPr>
            <w:tcW w:w="153" w:type="dxa"/>
          </w:tcPr>
          <w:p w14:paraId="55F9599E" w14:textId="77777777" w:rsidR="009D7CB8" w:rsidRPr="009D7CB8" w:rsidRDefault="009D7CB8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75C6E931" w14:textId="13209393" w:rsidR="00360987" w:rsidRDefault="00360987" w:rsidP="006A160A">
            <w:pPr>
              <w:pStyle w:val="TableParagraph"/>
              <w:ind w:right="61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Northeast Tennessee Healthcare Preparedness Coalition</w:t>
            </w:r>
          </w:p>
          <w:p w14:paraId="59EFF5B6" w14:textId="6AE53248" w:rsidR="009D7CB8" w:rsidRPr="009D7CB8" w:rsidRDefault="00360987" w:rsidP="006A160A">
            <w:pPr>
              <w:pStyle w:val="TableParagraph"/>
              <w:ind w:right="61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2022 Full-Scale Exercise</w:t>
            </w:r>
          </w:p>
        </w:tc>
      </w:tr>
      <w:tr w:rsidR="009D7CB8" w:rsidRPr="009D7CB8" w14:paraId="1C6E8D22" w14:textId="77777777" w:rsidTr="00DC4A47">
        <w:trPr>
          <w:gridAfter w:val="1"/>
          <w:wAfter w:w="10" w:type="dxa"/>
          <w:trHeight w:val="844"/>
        </w:trPr>
        <w:tc>
          <w:tcPr>
            <w:tcW w:w="181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0080"/>
            <w:vAlign w:val="center"/>
          </w:tcPr>
          <w:p w14:paraId="00C92499" w14:textId="77777777" w:rsidR="009D7CB8" w:rsidRPr="009D7CB8" w:rsidRDefault="009D7CB8" w:rsidP="006A160A">
            <w:pPr>
              <w:pStyle w:val="TableParagraph"/>
              <w:ind w:left="49" w:right="5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7CB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Response Dates</w:t>
            </w:r>
          </w:p>
        </w:tc>
        <w:tc>
          <w:tcPr>
            <w:tcW w:w="153" w:type="dxa"/>
          </w:tcPr>
          <w:p w14:paraId="3F8DB5BC" w14:textId="77777777" w:rsidR="009D7CB8" w:rsidRPr="009D7CB8" w:rsidRDefault="009D7CB8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F2F2F2" w:themeFill="background1" w:themeFillShade="F2"/>
            <w:vAlign w:val="center"/>
          </w:tcPr>
          <w:p w14:paraId="3A81B0F5" w14:textId="5A155414" w:rsidR="009D7CB8" w:rsidRPr="009D7CB8" w:rsidRDefault="00433ED2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May 4, 2022</w:t>
            </w:r>
          </w:p>
        </w:tc>
      </w:tr>
      <w:tr w:rsidR="009D7CB8" w:rsidRPr="009D7CB8" w14:paraId="68AA7C1C" w14:textId="77777777" w:rsidTr="00DC4A47">
        <w:trPr>
          <w:gridAfter w:val="1"/>
          <w:wAfter w:w="10" w:type="dxa"/>
          <w:trHeight w:val="456"/>
        </w:trPr>
        <w:tc>
          <w:tcPr>
            <w:tcW w:w="181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0080"/>
            <w:vAlign w:val="center"/>
          </w:tcPr>
          <w:p w14:paraId="24D036AC" w14:textId="77777777" w:rsidR="009D7CB8" w:rsidRPr="009D7CB8" w:rsidRDefault="009D7CB8" w:rsidP="006A160A">
            <w:pPr>
              <w:pStyle w:val="TableParagraph"/>
              <w:ind w:left="49" w:right="50"/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9D7CB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53" w:type="dxa"/>
          </w:tcPr>
          <w:p w14:paraId="62CE2E83" w14:textId="77777777" w:rsidR="009D7CB8" w:rsidRPr="009D7CB8" w:rsidRDefault="009D7CB8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1ADB431D" w14:textId="4697D106" w:rsidR="009D7CB8" w:rsidRPr="009D7CB8" w:rsidRDefault="00360987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Full-Scale Exercise</w:t>
            </w:r>
          </w:p>
        </w:tc>
      </w:tr>
      <w:tr w:rsidR="001D3DBD" w:rsidRPr="009D7CB8" w14:paraId="779F2DC2" w14:textId="77777777" w:rsidTr="00061638">
        <w:trPr>
          <w:gridAfter w:val="1"/>
          <w:wAfter w:w="10" w:type="dxa"/>
          <w:trHeight w:val="519"/>
        </w:trPr>
        <w:tc>
          <w:tcPr>
            <w:tcW w:w="181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0080"/>
            <w:vAlign w:val="center"/>
          </w:tcPr>
          <w:p w14:paraId="6F68306F" w14:textId="21AF0163" w:rsidR="001D3DBD" w:rsidRPr="009D7CB8" w:rsidRDefault="001D3DBD" w:rsidP="006A160A">
            <w:pPr>
              <w:pStyle w:val="TableParagraph"/>
              <w:ind w:left="49" w:right="50"/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9D7CB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Scope</w:t>
            </w:r>
          </w:p>
        </w:tc>
        <w:tc>
          <w:tcPr>
            <w:tcW w:w="153" w:type="dxa"/>
          </w:tcPr>
          <w:p w14:paraId="0B17129B" w14:textId="77777777" w:rsidR="001D3DBD" w:rsidRPr="009D7CB8" w:rsidRDefault="001D3DBD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0B8E68E5" w14:textId="77777777" w:rsidR="001D3DBD" w:rsidRPr="001D3DBD" w:rsidRDefault="001D3DBD" w:rsidP="001D3DBD">
            <w:pPr>
              <w:pStyle w:val="TableParagraph"/>
              <w:ind w:left="180" w:right="296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3DBD">
              <w:rPr>
                <w:rFonts w:ascii="Open Sans" w:eastAsia="Times New Roman" w:hAnsi="Open Sans" w:cs="Open Sans"/>
                <w:sz w:val="20"/>
                <w:szCs w:val="20"/>
              </w:rPr>
              <w:t xml:space="preserve">This exercise is a community wide full-scale exercise focusing on cybersecurity, communications failure, medical surge and burn related incidents with participation from partners of the Northeast Tennessee Healthcare Preparedness Coalition. </w:t>
            </w:r>
          </w:p>
          <w:p w14:paraId="0F317697" w14:textId="6C261206" w:rsidR="001D3DBD" w:rsidRPr="009D7CB8" w:rsidRDefault="001D3DBD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3DBD" w:rsidRPr="009D7CB8" w14:paraId="77B197F9" w14:textId="77777777" w:rsidTr="00DC4A47">
        <w:trPr>
          <w:gridAfter w:val="1"/>
          <w:wAfter w:w="10" w:type="dxa"/>
          <w:trHeight w:val="1680"/>
        </w:trPr>
        <w:tc>
          <w:tcPr>
            <w:tcW w:w="181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0080"/>
            <w:vAlign w:val="center"/>
          </w:tcPr>
          <w:p w14:paraId="30AB6071" w14:textId="0471B9FC" w:rsidR="001D3DBD" w:rsidRPr="009D7CB8" w:rsidRDefault="001D3DBD" w:rsidP="006A160A">
            <w:pPr>
              <w:pStyle w:val="TableParagraph"/>
              <w:ind w:left="49" w:right="4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7CB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Mission Area(s)</w:t>
            </w:r>
          </w:p>
        </w:tc>
        <w:tc>
          <w:tcPr>
            <w:tcW w:w="153" w:type="dxa"/>
          </w:tcPr>
          <w:p w14:paraId="399F975B" w14:textId="77777777" w:rsidR="001D3DBD" w:rsidRPr="009D7CB8" w:rsidRDefault="001D3DBD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481C107E" w14:textId="2F3DBA60" w:rsidR="001D3DBD" w:rsidRPr="009D7CB8" w:rsidRDefault="001D3DBD" w:rsidP="006A160A">
            <w:pPr>
              <w:pStyle w:val="TableParagraph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Prevention, Protection, Mitigation and Response</w:t>
            </w:r>
          </w:p>
        </w:tc>
      </w:tr>
      <w:tr w:rsidR="001D3DBD" w:rsidRPr="009D7CB8" w14:paraId="75878E84" w14:textId="77777777" w:rsidTr="00061638">
        <w:trPr>
          <w:gridAfter w:val="1"/>
          <w:wAfter w:w="10" w:type="dxa"/>
          <w:trHeight w:val="1068"/>
        </w:trPr>
        <w:tc>
          <w:tcPr>
            <w:tcW w:w="1819" w:type="dxa"/>
            <w:tcBorders>
              <w:top w:val="single" w:sz="48" w:space="0" w:color="FFFFFF"/>
              <w:right w:val="single" w:sz="4" w:space="0" w:color="auto"/>
            </w:tcBorders>
            <w:shd w:val="clear" w:color="auto" w:fill="000080"/>
            <w:vAlign w:val="center"/>
          </w:tcPr>
          <w:p w14:paraId="0B8CD4CF" w14:textId="77777777" w:rsidR="001D3DBD" w:rsidRPr="009D7CB8" w:rsidRDefault="001D3DBD" w:rsidP="006A160A">
            <w:pPr>
              <w:pStyle w:val="TableParagraph"/>
              <w:ind w:left="115" w:right="275" w:hanging="2"/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Objectives</w:t>
            </w:r>
          </w:p>
          <w:p w14:paraId="7320225E" w14:textId="689DDF4F" w:rsidR="001D3DBD" w:rsidRPr="009D7CB8" w:rsidRDefault="001D3DBD" w:rsidP="006A160A">
            <w:pPr>
              <w:pStyle w:val="TableParagraph"/>
              <w:ind w:left="49" w:right="49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3" w:type="dxa"/>
            <w:tcBorders>
              <w:left w:val="single" w:sz="4" w:space="0" w:color="auto"/>
            </w:tcBorders>
          </w:tcPr>
          <w:p w14:paraId="32D3542E" w14:textId="77777777" w:rsidR="001D3DBD" w:rsidRPr="009D7CB8" w:rsidRDefault="001D3DBD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2FF00DAE" w14:textId="77777777" w:rsidR="001D3DBD" w:rsidRPr="006E3C17" w:rsidRDefault="001D3DBD" w:rsidP="006E3C17">
            <w:pPr>
              <w:pStyle w:val="TableParagrap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3C17">
              <w:rPr>
                <w:rFonts w:ascii="Open Sans" w:hAnsi="Open Sans" w:cs="Open Sans"/>
                <w:b/>
                <w:sz w:val="20"/>
                <w:szCs w:val="20"/>
              </w:rPr>
              <w:t xml:space="preserve">Healthcare Facility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Objectives</w:t>
            </w:r>
          </w:p>
          <w:p w14:paraId="2749A753" w14:textId="77777777" w:rsidR="001D3DBD" w:rsidRPr="000D718E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D718E">
              <w:rPr>
                <w:rFonts w:ascii="Open Sans" w:hAnsi="Open Sans" w:cs="Open Sans"/>
                <w:sz w:val="20"/>
                <w:szCs w:val="20"/>
              </w:rPr>
              <w:t>Evaluate the participating hospitals’ ability to process a surge of patients with varying levels of injuries and illness.</w:t>
            </w:r>
          </w:p>
          <w:p w14:paraId="4FA4F032" w14:textId="77777777" w:rsidR="001D3DBD" w:rsidRPr="000D718E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D718E">
              <w:rPr>
                <w:rFonts w:ascii="Open Sans" w:hAnsi="Open Sans" w:cs="Open Sans"/>
                <w:sz w:val="20"/>
                <w:szCs w:val="20"/>
              </w:rPr>
              <w:t>Evaluate the hospitals’, the RMCC and other participating agencies use of the incident command system to manage the incident.</w:t>
            </w:r>
          </w:p>
          <w:p w14:paraId="059F8E3A" w14:textId="77777777" w:rsidR="001D3DBD" w:rsidRPr="000D718E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D718E">
              <w:rPr>
                <w:rFonts w:ascii="Open Sans" w:hAnsi="Open Sans" w:cs="Open Sans"/>
                <w:sz w:val="20"/>
                <w:szCs w:val="20"/>
              </w:rPr>
              <w:t xml:space="preserve">Evaluate internal and external communications with participating agencies and ability to adapt backup communication methods. </w:t>
            </w:r>
          </w:p>
          <w:p w14:paraId="551FF54D" w14:textId="77777777" w:rsidR="001D3DBD" w:rsidRPr="000D718E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D718E">
              <w:rPr>
                <w:rFonts w:ascii="Open Sans" w:hAnsi="Open Sans" w:cs="Open Sans"/>
                <w:sz w:val="20"/>
                <w:szCs w:val="20"/>
              </w:rPr>
              <w:t>Evaluate the ability of participating agencies to assess available resources and appropriately request additional support if required.</w:t>
            </w:r>
          </w:p>
          <w:p w14:paraId="46126795" w14:textId="77777777" w:rsidR="001D3DBD" w:rsidRPr="000D718E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D718E">
              <w:rPr>
                <w:rFonts w:ascii="Open Sans" w:hAnsi="Open Sans" w:cs="Open Sans"/>
                <w:sz w:val="20"/>
                <w:szCs w:val="20"/>
              </w:rPr>
              <w:t xml:space="preserve">Evaluate the participating agency’s ability to manage medical surge due to large number of burn patients.  </w:t>
            </w:r>
          </w:p>
          <w:p w14:paraId="4B1CAC73" w14:textId="77777777" w:rsidR="001D3DBD" w:rsidRPr="000D718E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D718E">
              <w:rPr>
                <w:rFonts w:ascii="Open Sans" w:hAnsi="Open Sans" w:cs="Open Sans"/>
                <w:sz w:val="20"/>
                <w:szCs w:val="20"/>
              </w:rPr>
              <w:t xml:space="preserve">Evaluate the participating agency’s ability to manage a cybersecurity attack that hinders their IT systems within the facility. </w:t>
            </w:r>
          </w:p>
          <w:p w14:paraId="26109225" w14:textId="77777777" w:rsidR="001D3DBD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0D718E">
              <w:rPr>
                <w:rFonts w:ascii="Open Sans" w:hAnsi="Open Sans" w:cs="Open Sans"/>
                <w:sz w:val="20"/>
                <w:szCs w:val="20"/>
              </w:rPr>
              <w:t>Evaluate the participating agency’s ability to manage electrical outages at facilities for multiple days.</w:t>
            </w:r>
          </w:p>
          <w:p w14:paraId="64C34B2A" w14:textId="77777777" w:rsidR="001D3DBD" w:rsidRDefault="001D3DBD" w:rsidP="006E3C17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  <w:p w14:paraId="33276D2A" w14:textId="77777777" w:rsidR="001D3DBD" w:rsidRPr="006E3C17" w:rsidRDefault="001D3DBD" w:rsidP="006E3C17">
            <w:pPr>
              <w:pStyle w:val="TableParagrap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3C17">
              <w:rPr>
                <w:rFonts w:ascii="Open Sans" w:hAnsi="Open Sans" w:cs="Open Sans"/>
                <w:b/>
                <w:sz w:val="20"/>
                <w:szCs w:val="20"/>
              </w:rPr>
              <w:t>Healthcare Coalition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Objectives</w:t>
            </w:r>
          </w:p>
          <w:p w14:paraId="0A93B51C" w14:textId="77777777" w:rsidR="001D3DBD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Evaluate the ability of the HCC to enhance situational awareness for its members during an event</w:t>
            </w:r>
          </w:p>
          <w:p w14:paraId="5F97A645" w14:textId="77777777" w:rsidR="001D3DBD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Evaluate the ability of the HCC to demonstrate resource support and coordination among its member organizations under time urgency, uncertainty and logistical constraints of an emergency</w:t>
            </w:r>
          </w:p>
          <w:p w14:paraId="57D2A09F" w14:textId="77777777" w:rsidR="001D3DBD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Evaluate the ability of the HCC to demonstrate the capability of redundant means of communication to achieve situational awareness</w:t>
            </w:r>
          </w:p>
          <w:p w14:paraId="4668E1C2" w14:textId="77777777" w:rsidR="001D3DBD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Evaluate the HCCs ability to monitor patient acuity and staffed bed availability in real time, tracking and documenting patient movements</w:t>
            </w:r>
          </w:p>
          <w:p w14:paraId="40A99BD4" w14:textId="77777777" w:rsidR="001D3DBD" w:rsidRDefault="001D3DBD" w:rsidP="000D718E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Evaluate coalition members ability to communicate and coordinate quickly to find and match available staffed beds, transportation, supplies, equipment and personnel during a large-scale surge incident</w:t>
            </w:r>
          </w:p>
          <w:p w14:paraId="70512F11" w14:textId="3871E837" w:rsidR="001D3DBD" w:rsidRPr="009D7CB8" w:rsidRDefault="001D3DBD" w:rsidP="001D3DBD">
            <w:pPr>
              <w:pStyle w:val="TableParagraph"/>
              <w:numPr>
                <w:ilvl w:val="0"/>
                <w:numId w:val="36"/>
              </w:numPr>
              <w:ind w:left="390" w:hanging="39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Evaluate coalition members ability to use the Healthcare Resource Tracking System (HRTS) </w:t>
            </w:r>
          </w:p>
        </w:tc>
      </w:tr>
      <w:tr w:rsidR="001D3DBD" w:rsidRPr="009D7CB8" w14:paraId="16D758D7" w14:textId="77777777" w:rsidTr="00061638">
        <w:trPr>
          <w:trHeight w:val="1410"/>
        </w:trPr>
        <w:tc>
          <w:tcPr>
            <w:tcW w:w="181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0080"/>
            <w:vAlign w:val="center"/>
          </w:tcPr>
          <w:p w14:paraId="207CFB74" w14:textId="3BF7D627" w:rsidR="001D3DBD" w:rsidRPr="009D7CB8" w:rsidRDefault="001D3DBD" w:rsidP="00562E59">
            <w:pPr>
              <w:pStyle w:val="TableParagraph"/>
              <w:ind w:right="275"/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</w:pPr>
            <w:r w:rsidRPr="009D7CB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lastRenderedPageBreak/>
              <w:t>Threat or Hazard</w:t>
            </w:r>
          </w:p>
        </w:tc>
        <w:tc>
          <w:tcPr>
            <w:tcW w:w="153" w:type="dxa"/>
          </w:tcPr>
          <w:p w14:paraId="75C75699" w14:textId="77777777" w:rsidR="001D3DBD" w:rsidRPr="009D7CB8" w:rsidRDefault="001D3DBD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14:paraId="7B521407" w14:textId="6F7FB268" w:rsidR="001D3DBD" w:rsidRPr="006E3C17" w:rsidRDefault="001D3DBD" w:rsidP="006E3C17">
            <w:pPr>
              <w:pStyle w:val="TableParagraph"/>
              <w:numPr>
                <w:ilvl w:val="0"/>
                <w:numId w:val="36"/>
              </w:num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FF1578">
              <w:rPr>
                <w:rFonts w:ascii="Open Sans" w:hAnsi="Open Sans" w:cs="Open Sans"/>
                <w:sz w:val="20"/>
                <w:szCs w:val="20"/>
              </w:rPr>
              <w:t>Medical Surge and loss of life due to cybersecurity attack on electrical grid.</w:t>
            </w:r>
          </w:p>
        </w:tc>
      </w:tr>
      <w:tr w:rsidR="001D3DBD" w:rsidRPr="0000596D" w14:paraId="7E8A068A" w14:textId="77777777" w:rsidTr="00DC4A47">
        <w:trPr>
          <w:gridAfter w:val="1"/>
          <w:wAfter w:w="10" w:type="dxa"/>
          <w:trHeight w:val="1032"/>
        </w:trPr>
        <w:tc>
          <w:tcPr>
            <w:tcW w:w="181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0080"/>
            <w:vAlign w:val="center"/>
          </w:tcPr>
          <w:p w14:paraId="6CF4EA4D" w14:textId="4E744581" w:rsidR="001D3DBD" w:rsidRPr="009D7CB8" w:rsidRDefault="001D3DBD" w:rsidP="006A160A">
            <w:pPr>
              <w:pStyle w:val="TableParagraph"/>
              <w:ind w:left="523" w:right="390" w:hanging="108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7CB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Scenario</w:t>
            </w:r>
          </w:p>
        </w:tc>
        <w:tc>
          <w:tcPr>
            <w:tcW w:w="153" w:type="dxa"/>
          </w:tcPr>
          <w:p w14:paraId="0ACD886F" w14:textId="77777777" w:rsidR="001D3DBD" w:rsidRPr="009D7CB8" w:rsidRDefault="001D3DBD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26FED88A" w14:textId="77777777" w:rsidR="001D3DBD" w:rsidRDefault="001D3DBD" w:rsidP="00FF1578">
            <w:pPr>
              <w:pStyle w:val="TableParagraph"/>
              <w:ind w:right="31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F1578">
              <w:rPr>
                <w:rFonts w:ascii="Open Sans" w:hAnsi="Open Sans" w:cs="Open Sans"/>
                <w:sz w:val="20"/>
                <w:szCs w:val="20"/>
              </w:rPr>
              <w:t xml:space="preserve">May 2nd:  A cybersecurity attack has affected the region’s electrical grid, shutting down power in various areas across the Northeast TN region.  Healthcare agencies are experiencing varying power outages and communication failures. </w:t>
            </w:r>
          </w:p>
          <w:p w14:paraId="19C5F410" w14:textId="77777777" w:rsidR="001D3DBD" w:rsidRPr="00FF1578" w:rsidRDefault="001D3DBD" w:rsidP="00FF1578">
            <w:pPr>
              <w:pStyle w:val="TableParagraph"/>
              <w:ind w:right="31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A30B9B1" w14:textId="77777777" w:rsidR="001D3DBD" w:rsidRPr="00FF1578" w:rsidRDefault="001D3DBD" w:rsidP="00FF1578">
            <w:pPr>
              <w:pStyle w:val="TableParagraph"/>
              <w:ind w:right="31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F1578">
              <w:rPr>
                <w:rFonts w:ascii="Open Sans" w:hAnsi="Open Sans" w:cs="Open Sans"/>
                <w:sz w:val="20"/>
                <w:szCs w:val="20"/>
              </w:rPr>
              <w:t xml:space="preserve">Due to loss of water, a large furnace in a plant that makes glass has exploded leading to multiple burn patients.  The explosion has injured up to 20 people. </w:t>
            </w:r>
          </w:p>
          <w:p w14:paraId="1A5097C4" w14:textId="77777777" w:rsidR="001D3DBD" w:rsidRPr="00FF1578" w:rsidRDefault="001D3DBD" w:rsidP="00FF1578">
            <w:pPr>
              <w:pStyle w:val="TableParagraph"/>
              <w:ind w:right="31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F1578">
              <w:rPr>
                <w:rFonts w:ascii="Open Sans" w:hAnsi="Open Sans" w:cs="Open Sans"/>
                <w:sz w:val="20"/>
                <w:szCs w:val="20"/>
              </w:rPr>
              <w:t xml:space="preserve">Multiple traffic accidents have led to an increase in trauma patients. Communication outages at responder agencies has made response difficult. </w:t>
            </w:r>
          </w:p>
          <w:p w14:paraId="20DAF33A" w14:textId="77777777" w:rsidR="001D3DBD" w:rsidRDefault="001D3DBD" w:rsidP="00FF1578">
            <w:pPr>
              <w:pStyle w:val="TableParagraph"/>
              <w:ind w:right="31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F1578">
              <w:rPr>
                <w:rFonts w:ascii="Open Sans" w:hAnsi="Open Sans" w:cs="Open Sans"/>
                <w:sz w:val="20"/>
                <w:szCs w:val="20"/>
              </w:rPr>
              <w:t>Electrical outages at residents’ homes have led to electronically dependent vulnerable populations seeking care at area hospitals.</w:t>
            </w:r>
          </w:p>
          <w:p w14:paraId="0AB1B451" w14:textId="77777777" w:rsidR="001D3DBD" w:rsidRPr="00FF1578" w:rsidRDefault="001D3DBD" w:rsidP="00FF1578">
            <w:pPr>
              <w:pStyle w:val="TableParagraph"/>
              <w:ind w:right="31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9F7B290" w14:textId="5E5F3C66" w:rsidR="001D3DBD" w:rsidRPr="009D7CB8" w:rsidRDefault="001D3DBD" w:rsidP="006A160A">
            <w:pPr>
              <w:pStyle w:val="TableParagraph"/>
              <w:ind w:right="379"/>
              <w:rPr>
                <w:rFonts w:ascii="Open Sans" w:hAnsi="Open Sans" w:cs="Open Sans"/>
                <w:sz w:val="20"/>
                <w:szCs w:val="20"/>
              </w:rPr>
            </w:pPr>
            <w:r w:rsidRPr="00FF1578">
              <w:rPr>
                <w:rFonts w:ascii="Open Sans" w:hAnsi="Open Sans" w:cs="Open Sans"/>
                <w:sz w:val="20"/>
                <w:szCs w:val="20"/>
              </w:rPr>
              <w:t>Electrical outages at other area healthcare facilities have led some LTCs seeking evacuation to sister facilities.  Additional healthcare facilities are experiencing communication and IT failures.</w:t>
            </w:r>
          </w:p>
        </w:tc>
      </w:tr>
      <w:tr w:rsidR="001D3DBD" w:rsidRPr="0000596D" w14:paraId="43A1AA9E" w14:textId="77777777" w:rsidTr="00DC4A47">
        <w:trPr>
          <w:gridAfter w:val="1"/>
          <w:wAfter w:w="10" w:type="dxa"/>
          <w:trHeight w:val="2661"/>
        </w:trPr>
        <w:tc>
          <w:tcPr>
            <w:tcW w:w="181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0080"/>
            <w:vAlign w:val="center"/>
          </w:tcPr>
          <w:p w14:paraId="1029E03C" w14:textId="7FB80328" w:rsidR="001D3DBD" w:rsidRPr="009D7CB8" w:rsidRDefault="001D3DBD" w:rsidP="006A160A">
            <w:pPr>
              <w:pStyle w:val="TableParagraph"/>
              <w:ind w:left="49" w:right="49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3" w:type="dxa"/>
          </w:tcPr>
          <w:p w14:paraId="318C1A44" w14:textId="77777777" w:rsidR="001D3DBD" w:rsidRPr="009D7CB8" w:rsidRDefault="001D3DBD" w:rsidP="006A160A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0C3AB796" w14:textId="7A67EB3A" w:rsidR="001D3DBD" w:rsidRPr="009D7CB8" w:rsidRDefault="001D3DBD" w:rsidP="00FF1578">
            <w:pPr>
              <w:pStyle w:val="TableParagraph"/>
              <w:ind w:right="31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C2B0324" w14:textId="29F761AA" w:rsidR="007E0CEB" w:rsidRDefault="007E0CEB" w:rsidP="007E0CEB">
      <w:pPr>
        <w:rPr>
          <w:rFonts w:ascii="Open Sans" w:hAnsi="Open Sans" w:cs="Open Sans"/>
        </w:rPr>
      </w:pPr>
    </w:p>
    <w:p w14:paraId="126A6D15" w14:textId="77777777" w:rsidR="007E0CEB" w:rsidRDefault="007E0CE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924875F" w14:textId="02909719" w:rsidR="007E0CEB" w:rsidRDefault="007E0CEB" w:rsidP="007E0CEB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D411C3">
        <w:rPr>
          <w:rFonts w:ascii="Open Sans" w:hAnsi="Open Sans" w:cs="Open Sans"/>
          <w:b/>
          <w:bCs/>
          <w:sz w:val="20"/>
          <w:szCs w:val="20"/>
          <w:u w:val="single"/>
        </w:rPr>
        <w:lastRenderedPageBreak/>
        <w:t>Executive Summary / Overview</w:t>
      </w:r>
    </w:p>
    <w:p w14:paraId="4C42E18C" w14:textId="13E50AC3" w:rsidR="008325D5" w:rsidRDefault="00EA0632" w:rsidP="008325D5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The Regional Healthcare Coordinators, EMS Consultant, and Vulnerable Populations Coordinator facilitated the exercise from the Regional Medical Communications Center.  RHCs, EMS consultants, and VPC participated in the exercise as a responding agency.  RMCC managed transfers and communications during response. Facilities were connected via HRTS, TNHAN and WebE</w:t>
      </w:r>
      <w:r w:rsidR="00233EE2">
        <w:rPr>
          <w:rFonts w:ascii="Open Sans Light" w:hAnsi="Open Sans Light" w:cs="Open Sans Light"/>
          <w:sz w:val="20"/>
          <w:szCs w:val="20"/>
        </w:rPr>
        <w:t>x</w:t>
      </w:r>
    </w:p>
    <w:p w14:paraId="6F0FD8DF" w14:textId="77777777" w:rsidR="008325D5" w:rsidRDefault="008325D5" w:rsidP="007B05AB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</w:p>
    <w:p w14:paraId="3F75F2DE" w14:textId="362D55B2" w:rsidR="008325D5" w:rsidRPr="007B05AB" w:rsidRDefault="008325D5" w:rsidP="008325D5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Key Findings</w:t>
      </w:r>
    </w:p>
    <w:p w14:paraId="2FD43B4A" w14:textId="22AD582B" w:rsidR="008325D5" w:rsidRDefault="00EA0632" w:rsidP="007E0CEB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Overall, the e</w:t>
      </w:r>
      <w:r w:rsidR="00574B77">
        <w:rPr>
          <w:rFonts w:ascii="Open Sans Light" w:hAnsi="Open Sans Light" w:cs="Open Sans Light"/>
          <w:sz w:val="20"/>
          <w:szCs w:val="20"/>
        </w:rPr>
        <w:t>xercise went wel</w:t>
      </w:r>
      <w:r w:rsidR="00286541">
        <w:rPr>
          <w:rFonts w:ascii="Open Sans Light" w:hAnsi="Open Sans Light" w:cs="Open Sans Light"/>
          <w:sz w:val="20"/>
          <w:szCs w:val="20"/>
        </w:rPr>
        <w:t xml:space="preserve">l.  Coalition members found </w:t>
      </w:r>
      <w:r w:rsidR="001D3DBD">
        <w:rPr>
          <w:rFonts w:ascii="Open Sans Light" w:hAnsi="Open Sans Light" w:cs="Open Sans Light"/>
          <w:sz w:val="20"/>
          <w:szCs w:val="20"/>
        </w:rPr>
        <w:t xml:space="preserve">the exercise participation to be helpful for their disaster planning efforts.  Many members expressed </w:t>
      </w:r>
      <w:r w:rsidR="007B05AB">
        <w:rPr>
          <w:rFonts w:ascii="Open Sans Light" w:hAnsi="Open Sans Light" w:cs="Open Sans Light"/>
          <w:sz w:val="20"/>
          <w:szCs w:val="20"/>
        </w:rPr>
        <w:t>a need</w:t>
      </w:r>
      <w:r w:rsidR="001D3DBD">
        <w:rPr>
          <w:rFonts w:ascii="Open Sans Light" w:hAnsi="Open Sans Light" w:cs="Open Sans Light"/>
          <w:sz w:val="20"/>
          <w:szCs w:val="20"/>
        </w:rPr>
        <w:t xml:space="preserve"> to reevaluate plans and update based on key findings during the exercise. </w:t>
      </w:r>
    </w:p>
    <w:p w14:paraId="65AB6118" w14:textId="77777777" w:rsidR="007E0CEB" w:rsidRDefault="007E0CEB" w:rsidP="007E0CEB">
      <w:pPr>
        <w:pStyle w:val="ListParagraph"/>
        <w:ind w:left="1080"/>
        <w:rPr>
          <w:rFonts w:ascii="Open Sans" w:hAnsi="Open Sans" w:cs="Open Sans"/>
          <w:b/>
          <w:bCs/>
          <w:sz w:val="20"/>
          <w:szCs w:val="20"/>
        </w:rPr>
      </w:pPr>
    </w:p>
    <w:p w14:paraId="7AB8B0E7" w14:textId="77777777" w:rsidR="007E0CEB" w:rsidRDefault="007E0CEB" w:rsidP="007E0CEB">
      <w:pPr>
        <w:pStyle w:val="ListParagraph"/>
        <w:ind w:left="1080"/>
        <w:rPr>
          <w:rFonts w:ascii="Open Sans" w:hAnsi="Open Sans" w:cs="Open Sans"/>
          <w:b/>
          <w:bCs/>
          <w:sz w:val="20"/>
          <w:szCs w:val="20"/>
        </w:rPr>
      </w:pPr>
    </w:p>
    <w:p w14:paraId="7CAB6E85" w14:textId="77777777" w:rsidR="009E299C" w:rsidRDefault="009E299C">
      <w:pPr>
        <w:rPr>
          <w:rFonts w:ascii="Open Sans" w:hAnsi="Open Sans" w:cs="Open Sans"/>
        </w:rPr>
      </w:pPr>
    </w:p>
    <w:p w14:paraId="33AC4D6A" w14:textId="77777777" w:rsidR="009E299C" w:rsidRDefault="009E299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ABAD11E" w14:textId="77777777" w:rsidR="0027664F" w:rsidRDefault="0027664F">
      <w:pPr>
        <w:rPr>
          <w:rFonts w:ascii="Open Sans" w:hAnsi="Open Sans" w:cs="Open Sans"/>
        </w:rPr>
        <w:sectPr w:rsidR="0027664F" w:rsidSect="00817BF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75F655" w14:textId="77777777" w:rsidR="00893561" w:rsidRPr="00893561" w:rsidRDefault="00893561" w:rsidP="00893561">
      <w:pPr>
        <w:jc w:val="center"/>
        <w:rPr>
          <w:rFonts w:ascii="Open Sans Semibold" w:hAnsi="Open Sans Semibold" w:cs="Open Sans Semibold"/>
          <w:b/>
          <w:bCs/>
        </w:rPr>
      </w:pPr>
      <w:r w:rsidRPr="00893561">
        <w:rPr>
          <w:rFonts w:ascii="Open Sans Semibold" w:hAnsi="Open Sans Semibold" w:cs="Open Sans Semibold"/>
          <w:b/>
          <w:bCs/>
        </w:rPr>
        <w:lastRenderedPageBreak/>
        <w:t>ANALYSIS OF Objectives/Capabilities and Domains</w:t>
      </w:r>
    </w:p>
    <w:p w14:paraId="1F8C61AA" w14:textId="77777777" w:rsidR="00893561" w:rsidRDefault="00893561">
      <w:pPr>
        <w:rPr>
          <w:rFonts w:ascii="Open Sans Light" w:hAnsi="Open Sans Light" w:cs="Open Sans Light"/>
          <w:sz w:val="20"/>
          <w:szCs w:val="20"/>
        </w:rPr>
      </w:pPr>
    </w:p>
    <w:p w14:paraId="16083F5B" w14:textId="6FA99712" w:rsidR="0027664F" w:rsidRDefault="00893561">
      <w:pPr>
        <w:rPr>
          <w:rFonts w:ascii="Open Sans Light" w:hAnsi="Open Sans Light" w:cs="Open Sans Light"/>
          <w:sz w:val="20"/>
          <w:szCs w:val="20"/>
        </w:rPr>
      </w:pPr>
      <w:r w:rsidRPr="00893561">
        <w:rPr>
          <w:rFonts w:ascii="Open Sans Light" w:hAnsi="Open Sans Light" w:cs="Open Sans Light"/>
          <w:sz w:val="20"/>
          <w:szCs w:val="20"/>
        </w:rPr>
        <w:t>Aligning exercise objectives and core capabilities provides a consistent taxonomy for evaluation that transcends individual exercises to support preparedness reporting and trend analysis. Table 1 includes the exercise objectives, aligned core capabilities, and performance ratings for each core capability as observed during the exercise and determined by the evaluation team.</w:t>
      </w:r>
    </w:p>
    <w:p w14:paraId="58157158" w14:textId="49AA14B6" w:rsidR="000D718E" w:rsidRDefault="000D718E">
      <w:pPr>
        <w:rPr>
          <w:rFonts w:ascii="Open Sans Light" w:hAnsi="Open Sans Light" w:cs="Open Sans Light"/>
          <w:sz w:val="20"/>
          <w:szCs w:val="20"/>
        </w:rPr>
      </w:pPr>
    </w:p>
    <w:p w14:paraId="1CE9587F" w14:textId="2002A0EB" w:rsidR="000D718E" w:rsidRPr="00443DB1" w:rsidRDefault="000D718E">
      <w:pPr>
        <w:rPr>
          <w:rFonts w:ascii="Open Sans Light" w:hAnsi="Open Sans Light" w:cs="Open Sans Light"/>
          <w:i/>
          <w:iCs/>
          <w:sz w:val="16"/>
          <w:szCs w:val="16"/>
        </w:rPr>
      </w:pPr>
      <w:r w:rsidRPr="00443DB1">
        <w:rPr>
          <w:rFonts w:ascii="Open Sans Light" w:hAnsi="Open Sans Light" w:cs="Open Sans Light"/>
          <w:i/>
          <w:iCs/>
          <w:sz w:val="16"/>
          <w:szCs w:val="16"/>
        </w:rPr>
        <w:t>*Add or remove objectives as needed to correctly reflect individual exercise environment.</w:t>
      </w:r>
    </w:p>
    <w:p w14:paraId="4A81820F" w14:textId="223F46A6" w:rsidR="0027664F" w:rsidRDefault="0027664F">
      <w:pPr>
        <w:rPr>
          <w:rFonts w:ascii="Open Sans" w:hAnsi="Open Sans" w:cs="Open Sans"/>
        </w:rPr>
      </w:pP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707"/>
        <w:gridCol w:w="737"/>
        <w:gridCol w:w="1451"/>
        <w:gridCol w:w="840"/>
        <w:gridCol w:w="714"/>
        <w:gridCol w:w="666"/>
        <w:gridCol w:w="666"/>
        <w:gridCol w:w="569"/>
      </w:tblGrid>
      <w:tr w:rsidR="00323CD6" w:rsidRPr="00940694" w14:paraId="43573E31" w14:textId="77777777" w:rsidTr="006C0D7F">
        <w:trPr>
          <w:cantSplit/>
          <w:trHeight w:val="1774"/>
          <w:tblHeader/>
        </w:trPr>
        <w:tc>
          <w:tcPr>
            <w:tcW w:w="5575" w:type="dxa"/>
            <w:shd w:val="clear" w:color="auto" w:fill="2F5496" w:themeFill="accent1" w:themeFillShade="BF"/>
            <w:tcMar>
              <w:left w:w="115" w:type="dxa"/>
              <w:bottom w:w="86" w:type="dxa"/>
              <w:right w:w="115" w:type="dxa"/>
            </w:tcMar>
            <w:vAlign w:val="bottom"/>
          </w:tcPr>
          <w:p w14:paraId="07724CF6" w14:textId="3E9A55E8" w:rsidR="0027697A" w:rsidRPr="00940694" w:rsidRDefault="00545D3B" w:rsidP="00323CD6">
            <w:pPr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940694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Objective</w:t>
            </w:r>
          </w:p>
        </w:tc>
        <w:tc>
          <w:tcPr>
            <w:tcW w:w="2965" w:type="dxa"/>
            <w:gridSpan w:val="2"/>
            <w:shd w:val="clear" w:color="auto" w:fill="2F5496" w:themeFill="accent1" w:themeFillShade="BF"/>
            <w:vAlign w:val="bottom"/>
          </w:tcPr>
          <w:p w14:paraId="46FF36F5" w14:textId="423276CA" w:rsidR="0027697A" w:rsidRPr="00940694" w:rsidRDefault="00545D3B" w:rsidP="00323CD6">
            <w:pPr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940694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Capability/ Domain</w:t>
            </w:r>
          </w:p>
        </w:tc>
        <w:tc>
          <w:tcPr>
            <w:tcW w:w="905" w:type="dxa"/>
            <w:shd w:val="clear" w:color="auto" w:fill="2F5496" w:themeFill="accent1" w:themeFillShade="BF"/>
            <w:vAlign w:val="bottom"/>
          </w:tcPr>
          <w:p w14:paraId="47EC3AAE" w14:textId="374461A6" w:rsidR="0027697A" w:rsidRPr="00940694" w:rsidRDefault="001020BA" w:rsidP="00323CD6">
            <w:pPr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940694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Program</w:t>
            </w:r>
          </w:p>
        </w:tc>
        <w:tc>
          <w:tcPr>
            <w:tcW w:w="990" w:type="dxa"/>
            <w:shd w:val="clear" w:color="auto" w:fill="2F5496" w:themeFill="accent1" w:themeFillShade="BF"/>
            <w:textDirection w:val="btLr"/>
          </w:tcPr>
          <w:p w14:paraId="4C9411B5" w14:textId="5CC6FFB4" w:rsidR="0027697A" w:rsidRPr="00940694" w:rsidRDefault="001020BA" w:rsidP="00545D3B">
            <w:pPr>
              <w:ind w:right="113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940694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Performed without Challenges (P)</w:t>
            </w:r>
          </w:p>
        </w:tc>
        <w:tc>
          <w:tcPr>
            <w:tcW w:w="900" w:type="dxa"/>
            <w:shd w:val="clear" w:color="auto" w:fill="2F5496" w:themeFill="accent1" w:themeFillShade="BF"/>
            <w:textDirection w:val="btLr"/>
          </w:tcPr>
          <w:p w14:paraId="67782731" w14:textId="67BCC3BF" w:rsidR="0027697A" w:rsidRPr="00940694" w:rsidRDefault="001020BA" w:rsidP="00545D3B">
            <w:pPr>
              <w:ind w:right="113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940694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Performed with Some Challenges (S)</w:t>
            </w:r>
          </w:p>
        </w:tc>
        <w:tc>
          <w:tcPr>
            <w:tcW w:w="900" w:type="dxa"/>
            <w:shd w:val="clear" w:color="auto" w:fill="2F5496" w:themeFill="accent1" w:themeFillShade="BF"/>
            <w:textDirection w:val="btLr"/>
          </w:tcPr>
          <w:p w14:paraId="078465DC" w14:textId="4342D08E" w:rsidR="0027697A" w:rsidRPr="00940694" w:rsidRDefault="001020BA" w:rsidP="00545D3B">
            <w:pPr>
              <w:ind w:right="113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940694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Performed with Major Challenges (M)</w:t>
            </w:r>
          </w:p>
        </w:tc>
        <w:tc>
          <w:tcPr>
            <w:tcW w:w="715" w:type="dxa"/>
            <w:shd w:val="clear" w:color="auto" w:fill="2F5496" w:themeFill="accent1" w:themeFillShade="BF"/>
            <w:textDirection w:val="btLr"/>
          </w:tcPr>
          <w:p w14:paraId="7D446157" w14:textId="087D4E5E" w:rsidR="0027697A" w:rsidRPr="00940694" w:rsidRDefault="001020BA" w:rsidP="00545D3B">
            <w:pPr>
              <w:ind w:right="113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940694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Unable to be Performed (U)</w:t>
            </w:r>
          </w:p>
        </w:tc>
      </w:tr>
      <w:tr w:rsidR="000D718E" w:rsidRPr="006C0D7F" w14:paraId="1FDC4C5E" w14:textId="77777777" w:rsidTr="007E0CEB">
        <w:tc>
          <w:tcPr>
            <w:tcW w:w="5575" w:type="dxa"/>
            <w:tcBorders>
              <w:top w:val="single" w:sz="12" w:space="0" w:color="auto"/>
            </w:tcBorders>
          </w:tcPr>
          <w:p w14:paraId="17952A45" w14:textId="6FC18B23" w:rsidR="000D718E" w:rsidRPr="006C0D7F" w:rsidRDefault="00443DB1">
            <w:pPr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</w:pPr>
            <w:r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t>Evaluate the ability of the HCC to enhance situational awareness for its members during an event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</w:tcBorders>
          </w:tcPr>
          <w:p w14:paraId="50836425" w14:textId="3A5C2975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Healthcare  and Medical Response Coordination, Medical Surge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5BA5B96E" w14:textId="69A49099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HPP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FC79091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6020230" w14:textId="694C1B17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61ABA7D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3A711917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6322" w14:paraId="2044F174" w14:textId="77777777" w:rsidTr="007E0CEB"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CAEA2" w14:textId="7DF5ADFA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Strengths:</w:t>
            </w:r>
          </w:p>
        </w:tc>
        <w:tc>
          <w:tcPr>
            <w:tcW w:w="6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47E7B" w14:textId="6F03C050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Areas of Improvements:</w:t>
            </w:r>
          </w:p>
        </w:tc>
      </w:tr>
      <w:tr w:rsidR="00D26322" w14:paraId="1E0B675D" w14:textId="77777777" w:rsidTr="007E0CEB">
        <w:tc>
          <w:tcPr>
            <w:tcW w:w="6475" w:type="dxa"/>
            <w:gridSpan w:val="2"/>
            <w:tcBorders>
              <w:bottom w:val="single" w:sz="12" w:space="0" w:color="auto"/>
            </w:tcBorders>
          </w:tcPr>
          <w:p w14:paraId="0FEFAE89" w14:textId="0F2ACF25" w:rsidR="00D26322" w:rsidRPr="00E46FF8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Strength #</w:t>
            </w:r>
            <w:r w:rsidR="00227E7C" w:rsidRPr="00E46FF8">
              <w:rPr>
                <w:rFonts w:ascii="Open Sans" w:hAnsi="Open Sans" w:cs="Open Sans"/>
                <w:sz w:val="18"/>
                <w:szCs w:val="18"/>
              </w:rPr>
              <w:t>1:</w:t>
            </w:r>
            <w:r w:rsidR="00227E7C">
              <w:rPr>
                <w:rFonts w:ascii="Open Sans" w:hAnsi="Open Sans" w:cs="Open Sans"/>
                <w:sz w:val="18"/>
                <w:szCs w:val="18"/>
              </w:rPr>
              <w:t xml:space="preserve"> HRTS, TNHAN and </w:t>
            </w:r>
            <w:proofErr w:type="spellStart"/>
            <w:r w:rsidR="00227E7C">
              <w:rPr>
                <w:rFonts w:ascii="Open Sans" w:hAnsi="Open Sans" w:cs="Open Sans"/>
                <w:sz w:val="18"/>
                <w:szCs w:val="18"/>
              </w:rPr>
              <w:t>Webex</w:t>
            </w:r>
            <w:proofErr w:type="spellEnd"/>
            <w:r w:rsidR="00227E7C">
              <w:rPr>
                <w:rFonts w:ascii="Open Sans" w:hAnsi="Open Sans" w:cs="Open Sans"/>
                <w:sz w:val="18"/>
                <w:szCs w:val="18"/>
              </w:rPr>
              <w:t xml:space="preserve"> platforms were able to enhance situational awareness during the exercise. </w:t>
            </w:r>
          </w:p>
          <w:p w14:paraId="79076481" w14:textId="7D7DE6BA" w:rsidR="00D26322" w:rsidRPr="00E46FF8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 xml:space="preserve">Strength #2:  </w:t>
            </w:r>
          </w:p>
        </w:tc>
        <w:tc>
          <w:tcPr>
            <w:tcW w:w="6475" w:type="dxa"/>
            <w:gridSpan w:val="6"/>
            <w:tcBorders>
              <w:bottom w:val="single" w:sz="12" w:space="0" w:color="auto"/>
            </w:tcBorders>
          </w:tcPr>
          <w:p w14:paraId="2BA7A58C" w14:textId="79EA73A8" w:rsidR="00D26322" w:rsidRPr="00E46FF8" w:rsidRDefault="00D26322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#1:</w:t>
            </w:r>
            <w:r w:rsidR="00227E7C">
              <w:rPr>
                <w:rFonts w:ascii="Open Sans" w:hAnsi="Open Sans" w:cs="Open Sans"/>
                <w:sz w:val="18"/>
                <w:szCs w:val="18"/>
              </w:rPr>
              <w:t xml:space="preserve"> Hospitals, Long Term Care and EMS are all 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established in the HRTS system, but other participating coalition members are only established in TNHAN.  There is a need for additional communication with other needed agencies during a disaster. </w:t>
            </w:r>
          </w:p>
          <w:p w14:paraId="5986A8ED" w14:textId="25C635E8" w:rsidR="00D26322" w:rsidRPr="00E46FF8" w:rsidRDefault="00D26322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#2: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  There is a need for contact lists to be on hand via paper and electronic form.  </w:t>
            </w:r>
          </w:p>
        </w:tc>
      </w:tr>
      <w:tr w:rsidR="000D718E" w:rsidRPr="006C0D7F" w14:paraId="5F975371" w14:textId="77777777" w:rsidTr="007E0CEB">
        <w:tc>
          <w:tcPr>
            <w:tcW w:w="5575" w:type="dxa"/>
            <w:tcBorders>
              <w:top w:val="single" w:sz="12" w:space="0" w:color="auto"/>
            </w:tcBorders>
          </w:tcPr>
          <w:p w14:paraId="6C607739" w14:textId="44C61C9E" w:rsidR="000D718E" w:rsidRPr="006C0D7F" w:rsidRDefault="00443DB1">
            <w:pPr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</w:pPr>
            <w:r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t xml:space="preserve">Evaluate the ability of the HCC to demonstrate resource support and coordination among its member organizations under time urgency, </w:t>
            </w:r>
            <w:r w:rsidR="00A63AEB"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t>uncertainty,</w:t>
            </w:r>
            <w:r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t xml:space="preserve"> and logistical constraints of an emergency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</w:tcBorders>
          </w:tcPr>
          <w:p w14:paraId="4BCAB9FF" w14:textId="3B431D19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Healthcare and Medical Response Coordination, Medical Surge 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3B4E41E1" w14:textId="02731902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HPP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44423133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A6650E9" w14:textId="27B83592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23ADD41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2746BB97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6322" w14:paraId="5783AD24" w14:textId="77777777" w:rsidTr="007E0CEB"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91767" w14:textId="09D142ED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Strengths:</w:t>
            </w:r>
          </w:p>
        </w:tc>
        <w:tc>
          <w:tcPr>
            <w:tcW w:w="6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3A23C" w14:textId="0B0CEC48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Areas of Improvements:</w:t>
            </w:r>
          </w:p>
        </w:tc>
      </w:tr>
      <w:tr w:rsidR="00D26322" w14:paraId="2ED3D86A" w14:textId="77777777" w:rsidTr="007E0CEB">
        <w:tc>
          <w:tcPr>
            <w:tcW w:w="6475" w:type="dxa"/>
            <w:gridSpan w:val="2"/>
            <w:tcBorders>
              <w:bottom w:val="single" w:sz="12" w:space="0" w:color="auto"/>
            </w:tcBorders>
          </w:tcPr>
          <w:p w14:paraId="719613A5" w14:textId="6DAD0601" w:rsidR="00D26322" w:rsidRPr="00E46FF8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Strength #1: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 RMCC is staffed and available 24/7.  </w:t>
            </w:r>
          </w:p>
          <w:p w14:paraId="257C8B6B" w14:textId="71919D0B" w:rsidR="00D26322" w:rsidRPr="00E46FF8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 xml:space="preserve">Strength #2:  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RHCs, RMCC, ERCs and EMS consultants have established communication with many response agencies in the region.  </w:t>
            </w:r>
          </w:p>
        </w:tc>
        <w:tc>
          <w:tcPr>
            <w:tcW w:w="6475" w:type="dxa"/>
            <w:gridSpan w:val="6"/>
            <w:tcBorders>
              <w:bottom w:val="single" w:sz="12" w:space="0" w:color="auto"/>
            </w:tcBorders>
          </w:tcPr>
          <w:p w14:paraId="35FD3FB2" w14:textId="4D7CA8A7" w:rsidR="00D26322" w:rsidRPr="00E46FF8" w:rsidRDefault="00D26322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#1: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  There is a need to work more closely with EMAs to establish resource requests with TEMA</w:t>
            </w:r>
            <w:r w:rsidR="000B3099">
              <w:rPr>
                <w:rFonts w:ascii="Open Sans" w:hAnsi="Open Sans" w:cs="Open Sans"/>
                <w:sz w:val="18"/>
                <w:szCs w:val="18"/>
              </w:rPr>
              <w:t xml:space="preserve"> and identify resources that may be available for coalition members. 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  <w:p w14:paraId="4F814F81" w14:textId="1CB4F5C4" w:rsidR="00D26322" w:rsidRPr="00E46FF8" w:rsidRDefault="00D26322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D718E" w:rsidRPr="006C0D7F" w14:paraId="1384AE09" w14:textId="77777777" w:rsidTr="007E0CEB">
        <w:tc>
          <w:tcPr>
            <w:tcW w:w="5575" w:type="dxa"/>
            <w:tcBorders>
              <w:top w:val="single" w:sz="12" w:space="0" w:color="auto"/>
            </w:tcBorders>
          </w:tcPr>
          <w:p w14:paraId="5A5A32CE" w14:textId="577AA83C" w:rsidR="000D718E" w:rsidRPr="006C0D7F" w:rsidRDefault="00443DB1">
            <w:pPr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</w:pPr>
            <w:r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t>Evaluate the ability of the HCC to demonstrate the capability of redundant means of communication to achieve situational awareness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</w:tcBorders>
          </w:tcPr>
          <w:p w14:paraId="515BFB53" w14:textId="1B5A13E9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Healthcare and Medical Response Coordination, Medical Surge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50C58DF8" w14:textId="088F19C5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HPP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45E455BC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3B9E3B0" w14:textId="60EBF150" w:rsidR="000D718E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D60C155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33E5D763" w14:textId="77777777" w:rsidR="000D718E" w:rsidRPr="006C0D7F" w:rsidRDefault="000D71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6322" w14:paraId="270A6AF9" w14:textId="77777777" w:rsidTr="007E0CEB"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2181A" w14:textId="03842140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Strengths:</w:t>
            </w:r>
          </w:p>
        </w:tc>
        <w:tc>
          <w:tcPr>
            <w:tcW w:w="6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35CC3" w14:textId="45B31D9E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Areas of Improvements:</w:t>
            </w:r>
          </w:p>
        </w:tc>
      </w:tr>
      <w:tr w:rsidR="00D26322" w14:paraId="1E5047B3" w14:textId="77777777" w:rsidTr="007E0CEB">
        <w:tc>
          <w:tcPr>
            <w:tcW w:w="6475" w:type="dxa"/>
            <w:gridSpan w:val="2"/>
            <w:tcBorders>
              <w:bottom w:val="single" w:sz="12" w:space="0" w:color="auto"/>
            </w:tcBorders>
          </w:tcPr>
          <w:p w14:paraId="55B6ACE5" w14:textId="74BF32D3" w:rsidR="00D26322" w:rsidRPr="00E46FF8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lastRenderedPageBreak/>
              <w:t>Strength #1:</w:t>
            </w:r>
            <w:r w:rsidR="009A54F7">
              <w:rPr>
                <w:rFonts w:ascii="Open Sans" w:hAnsi="Open Sans" w:cs="Open Sans"/>
                <w:sz w:val="18"/>
                <w:szCs w:val="18"/>
              </w:rPr>
              <w:t xml:space="preserve"> Communications were strengthened with additional licensed care agencies onboarded into HRTS and TNHAN. </w:t>
            </w:r>
          </w:p>
          <w:p w14:paraId="4D3A622C" w14:textId="77777777" w:rsidR="00D26322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 xml:space="preserve">Strength #2:  </w:t>
            </w:r>
            <w:r w:rsidR="009A54F7">
              <w:rPr>
                <w:rFonts w:ascii="Open Sans" w:hAnsi="Open Sans" w:cs="Open Sans"/>
                <w:sz w:val="18"/>
                <w:szCs w:val="18"/>
              </w:rPr>
              <w:t xml:space="preserve">HAM radio was an additional asset that was tested during the exercise. </w:t>
            </w:r>
          </w:p>
          <w:p w14:paraId="5C13B03F" w14:textId="7AF21B59" w:rsidR="00C07210" w:rsidRPr="00E46FF8" w:rsidRDefault="00C07210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Strength #3:  Many facilities had outside support from corporate offices. </w:t>
            </w:r>
          </w:p>
        </w:tc>
        <w:tc>
          <w:tcPr>
            <w:tcW w:w="6475" w:type="dxa"/>
            <w:gridSpan w:val="6"/>
            <w:tcBorders>
              <w:bottom w:val="single" w:sz="12" w:space="0" w:color="auto"/>
            </w:tcBorders>
          </w:tcPr>
          <w:p w14:paraId="7A5D3FAB" w14:textId="4507AB1D" w:rsidR="00D26322" w:rsidRPr="00E46FF8" w:rsidRDefault="00D26322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#1: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A54F7" w:rsidRPr="00C07210">
              <w:rPr>
                <w:rFonts w:ascii="Open Sans" w:hAnsi="Open Sans" w:cs="Open Sans"/>
                <w:sz w:val="18"/>
                <w:szCs w:val="18"/>
              </w:rPr>
              <w:t>There</w:t>
            </w:r>
            <w:r w:rsidR="009A54F7">
              <w:rPr>
                <w:rFonts w:ascii="Open Sans" w:hAnsi="Open Sans" w:cs="Open Sans"/>
                <w:sz w:val="18"/>
                <w:szCs w:val="18"/>
              </w:rPr>
              <w:t xml:space="preserve"> was an identified need for expanded training on HAM radio and </w:t>
            </w:r>
            <w:proofErr w:type="spellStart"/>
            <w:r w:rsidR="009A54F7">
              <w:rPr>
                <w:rFonts w:ascii="Open Sans" w:hAnsi="Open Sans" w:cs="Open Sans"/>
                <w:sz w:val="18"/>
                <w:szCs w:val="18"/>
              </w:rPr>
              <w:t>Winlink</w:t>
            </w:r>
            <w:proofErr w:type="spellEnd"/>
            <w:r w:rsidR="009A54F7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4FE37742" w14:textId="77777777" w:rsidR="00D26322" w:rsidRDefault="00D26322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#2:</w:t>
            </w:r>
            <w:r w:rsidR="00C07210">
              <w:rPr>
                <w:rFonts w:ascii="Open Sans" w:hAnsi="Open Sans" w:cs="Open Sans"/>
                <w:sz w:val="18"/>
                <w:szCs w:val="18"/>
              </w:rPr>
              <w:t xml:space="preserve">  Many facilities emergency phones were mobile based and would not work in this scenario.</w:t>
            </w:r>
          </w:p>
          <w:p w14:paraId="648D619D" w14:textId="77777777" w:rsidR="00A511E8" w:rsidRDefault="00A511E8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Area of Improvement #3:  There are some transport agencies that may have no backup power.  </w:t>
            </w:r>
          </w:p>
          <w:p w14:paraId="66607AB4" w14:textId="045C622F" w:rsidR="00CC3D00" w:rsidRPr="00E46FF8" w:rsidRDefault="00CC3D00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Area of Improvement #4:  Many agencies identified a need for additional radios and batteries. </w:t>
            </w:r>
          </w:p>
        </w:tc>
      </w:tr>
      <w:tr w:rsidR="0027697A" w:rsidRPr="006C0D7F" w14:paraId="458BA2BE" w14:textId="77777777" w:rsidTr="007E0CEB">
        <w:tc>
          <w:tcPr>
            <w:tcW w:w="5575" w:type="dxa"/>
            <w:tcBorders>
              <w:top w:val="single" w:sz="12" w:space="0" w:color="auto"/>
            </w:tcBorders>
          </w:tcPr>
          <w:p w14:paraId="6DF090E1" w14:textId="572EAAF4" w:rsidR="0027697A" w:rsidRPr="006C0D7F" w:rsidRDefault="00443DB1">
            <w:pPr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</w:pPr>
            <w:r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t>Evaluate the HCCs ability to monitor patient acuity and staffed bed availability in real time, tracking and documenting patient movements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</w:tcBorders>
          </w:tcPr>
          <w:p w14:paraId="40F2E95F" w14:textId="22053AF7" w:rsidR="0027697A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Healthcare and Medical Response Coordination, Medical Surge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41EFAF10" w14:textId="616151CC" w:rsidR="0027697A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HPP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231BD294" w14:textId="77777777" w:rsidR="0027697A" w:rsidRPr="006C0D7F" w:rsidRDefault="002769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D6A4277" w14:textId="56956AA5" w:rsidR="0027697A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084D31A" w14:textId="77777777" w:rsidR="0027697A" w:rsidRPr="006C0D7F" w:rsidRDefault="002769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32A380A9" w14:textId="77777777" w:rsidR="0027697A" w:rsidRPr="006C0D7F" w:rsidRDefault="002769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6322" w14:paraId="6B952B06" w14:textId="77777777" w:rsidTr="007E0CEB"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B5E9F" w14:textId="2D0B8F54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Strengths:</w:t>
            </w:r>
          </w:p>
        </w:tc>
        <w:tc>
          <w:tcPr>
            <w:tcW w:w="6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99CE7" w14:textId="1083D83E" w:rsidR="00D26322" w:rsidRPr="00E46FF8" w:rsidRDefault="00D26322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Areas of Improvements:</w:t>
            </w:r>
          </w:p>
        </w:tc>
      </w:tr>
      <w:tr w:rsidR="00D26322" w14:paraId="7E9831BB" w14:textId="77777777" w:rsidTr="007E0CEB">
        <w:tc>
          <w:tcPr>
            <w:tcW w:w="6475" w:type="dxa"/>
            <w:gridSpan w:val="2"/>
            <w:tcBorders>
              <w:bottom w:val="single" w:sz="12" w:space="0" w:color="auto"/>
            </w:tcBorders>
          </w:tcPr>
          <w:p w14:paraId="54A06E9A" w14:textId="7AF088E5" w:rsidR="00D26322" w:rsidRPr="00E46FF8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Strength #1:</w:t>
            </w:r>
            <w:r w:rsidR="009A54F7">
              <w:rPr>
                <w:rFonts w:ascii="Open Sans" w:hAnsi="Open Sans" w:cs="Open Sans"/>
                <w:sz w:val="18"/>
                <w:szCs w:val="18"/>
              </w:rPr>
              <w:t xml:space="preserve"> HRTS is an asset for monitoring bed numbers in real time.  </w:t>
            </w:r>
          </w:p>
          <w:p w14:paraId="29BFF9AA" w14:textId="2AF6ABA1" w:rsidR="00D26322" w:rsidRPr="00E46FF8" w:rsidRDefault="00D26322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 xml:space="preserve">Strength #2:  </w:t>
            </w:r>
          </w:p>
        </w:tc>
        <w:tc>
          <w:tcPr>
            <w:tcW w:w="6475" w:type="dxa"/>
            <w:gridSpan w:val="6"/>
            <w:tcBorders>
              <w:bottom w:val="single" w:sz="12" w:space="0" w:color="auto"/>
            </w:tcBorders>
          </w:tcPr>
          <w:p w14:paraId="6F3005DE" w14:textId="78D79EC7" w:rsidR="00DF066A" w:rsidRDefault="00D26322" w:rsidP="00DF066A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</w:t>
            </w:r>
            <w:r w:rsidR="00DE0D7B"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E46FF8">
              <w:rPr>
                <w:rFonts w:ascii="Open Sans" w:hAnsi="Open Sans" w:cs="Open Sans"/>
                <w:sz w:val="18"/>
                <w:szCs w:val="18"/>
              </w:rPr>
              <w:t>:</w:t>
            </w:r>
            <w:r w:rsidR="00E15A55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DF066A" w:rsidRPr="00DF066A">
              <w:rPr>
                <w:rFonts w:ascii="Open Sans" w:hAnsi="Open Sans" w:cs="Open Sans"/>
                <w:sz w:val="18"/>
                <w:szCs w:val="18"/>
              </w:rPr>
              <w:t>There is a need to establish patient tracking procedures and processes for Long Term Care</w:t>
            </w:r>
            <w:r w:rsidR="00DE0D7B">
              <w:rPr>
                <w:rFonts w:ascii="Open Sans" w:hAnsi="Open Sans" w:cs="Open Sans"/>
                <w:sz w:val="18"/>
                <w:szCs w:val="18"/>
              </w:rPr>
              <w:t xml:space="preserve"> and an update for hospitals and EMS</w:t>
            </w:r>
            <w:r w:rsidR="00DF066A" w:rsidRPr="00DF066A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70F192C3" w14:textId="0AC0C91B" w:rsidR="00A711FA" w:rsidRPr="00DF066A" w:rsidRDefault="00A711FA" w:rsidP="00DF066A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Area of Improvement #</w:t>
            </w:r>
            <w:r w:rsidR="00DE0D7B"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:  Cell Phone and Voice over IP (VOIP) would not work in this scenario</w:t>
            </w:r>
            <w:r w:rsidR="00183105">
              <w:rPr>
                <w:rFonts w:ascii="Open Sans" w:hAnsi="Open Sans" w:cs="Open Sans"/>
                <w:sz w:val="18"/>
                <w:szCs w:val="18"/>
              </w:rPr>
              <w:t xml:space="preserve"> which many facilities use routinely for correspondence. </w:t>
            </w:r>
          </w:p>
        </w:tc>
      </w:tr>
      <w:tr w:rsidR="00443DB1" w:rsidRPr="006C0D7F" w14:paraId="2EC84771" w14:textId="77777777" w:rsidTr="007E0CEB">
        <w:tc>
          <w:tcPr>
            <w:tcW w:w="5575" w:type="dxa"/>
            <w:tcBorders>
              <w:top w:val="single" w:sz="12" w:space="0" w:color="auto"/>
            </w:tcBorders>
          </w:tcPr>
          <w:p w14:paraId="34E77DA3" w14:textId="1E776218" w:rsidR="00443DB1" w:rsidRPr="006C0D7F" w:rsidRDefault="00443DB1">
            <w:pPr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</w:pPr>
            <w:r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t>Evaluate coalition members’ ability to communicate and coordinate quickly to find and match available staffed beds, transportation, supplies and equipment, and personnel during a large-scale surge incident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</w:tcBorders>
          </w:tcPr>
          <w:p w14:paraId="2FCB97C7" w14:textId="17A9F3DC" w:rsidR="00443DB1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Healthcare and Medical Response Coordination, Medical Surge 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308A84A9" w14:textId="7B095CA7" w:rsidR="00443DB1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HPP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4D10194A" w14:textId="77777777" w:rsidR="00443DB1" w:rsidRPr="006C0D7F" w:rsidRDefault="00443D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DA71A2C" w14:textId="3D291AF3" w:rsidR="00443DB1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EA41894" w14:textId="77777777" w:rsidR="00443DB1" w:rsidRPr="006C0D7F" w:rsidRDefault="00443D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484F8C5B" w14:textId="77777777" w:rsidR="00443DB1" w:rsidRPr="006C0D7F" w:rsidRDefault="00443D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23CD6" w14:paraId="403AB351" w14:textId="77777777" w:rsidTr="007E0CEB"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7E5C6" w14:textId="092434EB" w:rsidR="00323CD6" w:rsidRPr="00E46FF8" w:rsidRDefault="00323CD6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Strengths:</w:t>
            </w:r>
          </w:p>
        </w:tc>
        <w:tc>
          <w:tcPr>
            <w:tcW w:w="6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692CE" w14:textId="64FAEB5D" w:rsidR="00323CD6" w:rsidRPr="00E46FF8" w:rsidRDefault="00323CD6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Areas of Improvements:</w:t>
            </w:r>
          </w:p>
        </w:tc>
      </w:tr>
      <w:tr w:rsidR="00323CD6" w14:paraId="3F6E874A" w14:textId="77777777" w:rsidTr="007E0CEB">
        <w:tc>
          <w:tcPr>
            <w:tcW w:w="6475" w:type="dxa"/>
            <w:gridSpan w:val="2"/>
            <w:tcBorders>
              <w:bottom w:val="single" w:sz="12" w:space="0" w:color="auto"/>
            </w:tcBorders>
          </w:tcPr>
          <w:p w14:paraId="26FDF308" w14:textId="6D741ACC" w:rsidR="00323CD6" w:rsidRPr="00E46FF8" w:rsidRDefault="00323CD6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Strength #1:</w:t>
            </w:r>
            <w:r w:rsidR="00DF066A">
              <w:rPr>
                <w:rFonts w:ascii="Open Sans" w:hAnsi="Open Sans" w:cs="Open Sans"/>
                <w:sz w:val="18"/>
                <w:szCs w:val="18"/>
              </w:rPr>
              <w:t xml:space="preserve">  RMCC is a valuable asset for identifying and coordinating patient movement in the region. </w:t>
            </w:r>
          </w:p>
          <w:p w14:paraId="4654B7C3" w14:textId="77777777" w:rsidR="00323CD6" w:rsidRDefault="00323CD6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 xml:space="preserve">Strength #2:  </w:t>
            </w:r>
            <w:r w:rsidR="00DF066A">
              <w:rPr>
                <w:rFonts w:ascii="Open Sans" w:hAnsi="Open Sans" w:cs="Open Sans"/>
                <w:sz w:val="18"/>
                <w:szCs w:val="18"/>
              </w:rPr>
              <w:t xml:space="preserve">EMS consultant was available to assist with EMS coordination. </w:t>
            </w:r>
          </w:p>
          <w:p w14:paraId="7761541E" w14:textId="5D992D2B" w:rsidR="00C07210" w:rsidRPr="00E46FF8" w:rsidRDefault="00C07210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Strength #3:  Many </w:t>
            </w:r>
            <w:r w:rsidR="005E50D1">
              <w:rPr>
                <w:rFonts w:ascii="Open Sans" w:hAnsi="Open Sans" w:cs="Open Sans"/>
                <w:sz w:val="18"/>
                <w:szCs w:val="18"/>
              </w:rPr>
              <w:t>long-term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cares identified additional space that could be utilized during a disaster situation. </w:t>
            </w:r>
          </w:p>
        </w:tc>
        <w:tc>
          <w:tcPr>
            <w:tcW w:w="6475" w:type="dxa"/>
            <w:gridSpan w:val="6"/>
            <w:tcBorders>
              <w:bottom w:val="single" w:sz="12" w:space="0" w:color="auto"/>
            </w:tcBorders>
          </w:tcPr>
          <w:p w14:paraId="6BE4F769" w14:textId="17FF0738" w:rsidR="00323CD6" w:rsidRDefault="00323CD6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#1:</w:t>
            </w:r>
            <w:r w:rsidR="00DF066A">
              <w:rPr>
                <w:rFonts w:ascii="Open Sans" w:hAnsi="Open Sans" w:cs="Open Sans"/>
                <w:sz w:val="18"/>
                <w:szCs w:val="18"/>
              </w:rPr>
              <w:t xml:space="preserve"> Due to exercise artificiality between WebEx and HRTS, RMCC was not aware of all patient transfer needs.</w:t>
            </w:r>
          </w:p>
          <w:p w14:paraId="2DC4BEC5" w14:textId="18028CA7" w:rsidR="00055B48" w:rsidRDefault="00055B48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Area of Improvement #2:  There is a need to make sure that all transports available are identified in real time.  Updates to HRTS do not happen at regular intervals</w:t>
            </w:r>
            <w:r w:rsidR="00A711FA">
              <w:rPr>
                <w:rFonts w:ascii="Open Sans" w:hAnsi="Open Sans" w:cs="Open Sans"/>
                <w:sz w:val="18"/>
                <w:szCs w:val="18"/>
              </w:rPr>
              <w:t xml:space="preserve"> due to smaller agencies not having available staff to update. </w:t>
            </w:r>
          </w:p>
          <w:p w14:paraId="77C271E0" w14:textId="4EB144F5" w:rsidR="005E50D1" w:rsidRDefault="005E50D1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Area of Improvement #3:  There was an identified need for a refrigerated truck in the region to support Forensics Center in case of extended power outage. </w:t>
            </w:r>
          </w:p>
          <w:p w14:paraId="01AF3DF4" w14:textId="103F836C" w:rsidR="00A711FA" w:rsidRPr="00E46FF8" w:rsidRDefault="00A711FA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Area of Improvement #4:  There was an identified need for additional blood in the region during this type of disaster</w:t>
            </w:r>
            <w:r w:rsidR="00B751A9">
              <w:rPr>
                <w:rFonts w:ascii="Open Sans" w:hAnsi="Open Sans" w:cs="Open Sans"/>
                <w:sz w:val="18"/>
                <w:szCs w:val="18"/>
              </w:rPr>
              <w:t xml:space="preserve">, and establishing communication between the blood centers and the HCC. </w:t>
            </w:r>
          </w:p>
          <w:p w14:paraId="49F4625E" w14:textId="297329A1" w:rsidR="00323CD6" w:rsidRPr="00E46FF8" w:rsidRDefault="00323CD6" w:rsidP="00227E7C">
            <w:pPr>
              <w:pStyle w:val="ListParagraph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3DB1" w:rsidRPr="006C0D7F" w14:paraId="00A6F5A2" w14:textId="77777777" w:rsidTr="007E0CEB">
        <w:tc>
          <w:tcPr>
            <w:tcW w:w="5575" w:type="dxa"/>
            <w:tcBorders>
              <w:top w:val="single" w:sz="12" w:space="0" w:color="auto"/>
            </w:tcBorders>
          </w:tcPr>
          <w:p w14:paraId="01166D8D" w14:textId="487BA9FF" w:rsidR="00443DB1" w:rsidRPr="006C0D7F" w:rsidRDefault="00443DB1">
            <w:pPr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</w:pPr>
            <w:r w:rsidRPr="006C0D7F">
              <w:rPr>
                <w:rFonts w:ascii="Open Sans Semibold" w:hAnsi="Open Sans Semibold" w:cs="Open Sans Semibold"/>
                <w:b/>
                <w:bCs/>
                <w:sz w:val="20"/>
                <w:szCs w:val="20"/>
              </w:rPr>
              <w:lastRenderedPageBreak/>
              <w:t>Evaluate coalition members ability to use the Healthcare Resource Tracking System (HRTS)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</w:tcBorders>
          </w:tcPr>
          <w:p w14:paraId="54757531" w14:textId="77777777" w:rsidR="00443DB1" w:rsidRPr="006C0D7F" w:rsidRDefault="00443D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391DB0C5" w14:textId="3D025B2E" w:rsidR="00443DB1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HPP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43133DF3" w14:textId="77777777" w:rsidR="00443DB1" w:rsidRPr="006C0D7F" w:rsidRDefault="00443D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43C5896" w14:textId="6CFBC267" w:rsidR="00443DB1" w:rsidRPr="006C0D7F" w:rsidRDefault="00225A2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A1F4D02" w14:textId="77777777" w:rsidR="00443DB1" w:rsidRPr="006C0D7F" w:rsidRDefault="00443D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0DDA0964" w14:textId="77777777" w:rsidR="00443DB1" w:rsidRPr="006C0D7F" w:rsidRDefault="00443D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23CD6" w14:paraId="0FEF4E3F" w14:textId="77777777" w:rsidTr="007E0CEB"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9053E" w14:textId="5ADA92A8" w:rsidR="00323CD6" w:rsidRPr="00E46FF8" w:rsidRDefault="00323CD6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Strengths:</w:t>
            </w:r>
          </w:p>
        </w:tc>
        <w:tc>
          <w:tcPr>
            <w:tcW w:w="6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AC975" w14:textId="4B3567C3" w:rsidR="00323CD6" w:rsidRPr="00E46FF8" w:rsidRDefault="00323CD6" w:rsidP="00F64587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Areas of Improvements:</w:t>
            </w:r>
          </w:p>
        </w:tc>
      </w:tr>
      <w:tr w:rsidR="00323CD6" w14:paraId="45E1B3D1" w14:textId="77777777" w:rsidTr="007E0CEB">
        <w:tc>
          <w:tcPr>
            <w:tcW w:w="6475" w:type="dxa"/>
            <w:gridSpan w:val="2"/>
            <w:tcBorders>
              <w:bottom w:val="single" w:sz="12" w:space="0" w:color="auto"/>
            </w:tcBorders>
          </w:tcPr>
          <w:p w14:paraId="6A9977F6" w14:textId="726C99F8" w:rsidR="00323CD6" w:rsidRPr="00E46FF8" w:rsidRDefault="00323CD6" w:rsidP="00F64587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Strength #1:</w:t>
            </w:r>
            <w:r w:rsidR="00227E7C">
              <w:rPr>
                <w:rFonts w:ascii="Open Sans" w:hAnsi="Open Sans" w:cs="Open Sans"/>
                <w:sz w:val="18"/>
                <w:szCs w:val="18"/>
              </w:rPr>
              <w:t xml:space="preserve"> Coalition members, including newly onboarded Long Term Cares, were able to navigate the HRTS system.  </w:t>
            </w:r>
          </w:p>
          <w:p w14:paraId="1C9C1799" w14:textId="65CDCB3F" w:rsidR="00323CD6" w:rsidRPr="00227E7C" w:rsidRDefault="00323CD6" w:rsidP="00227E7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475" w:type="dxa"/>
            <w:gridSpan w:val="6"/>
            <w:tcBorders>
              <w:bottom w:val="single" w:sz="12" w:space="0" w:color="auto"/>
            </w:tcBorders>
          </w:tcPr>
          <w:p w14:paraId="2B420C65" w14:textId="3FBA369C" w:rsidR="00323CD6" w:rsidRPr="00E46FF8" w:rsidRDefault="00323CD6" w:rsidP="00F64587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E46FF8">
              <w:rPr>
                <w:rFonts w:ascii="Open Sans" w:hAnsi="Open Sans" w:cs="Open Sans"/>
                <w:sz w:val="18"/>
                <w:szCs w:val="18"/>
              </w:rPr>
              <w:t>Area of Improvement #1:</w:t>
            </w:r>
            <w:r w:rsidR="00227E7C">
              <w:rPr>
                <w:rFonts w:ascii="Open Sans" w:hAnsi="Open Sans" w:cs="Open Sans"/>
                <w:sz w:val="18"/>
                <w:szCs w:val="18"/>
              </w:rPr>
              <w:t xml:space="preserve"> Some confusion between HRTS message board and WebEx used during the exercise.  </w:t>
            </w:r>
          </w:p>
          <w:p w14:paraId="1FE240EE" w14:textId="35CED03A" w:rsidR="00323CD6" w:rsidRPr="00227E7C" w:rsidRDefault="00323CD6" w:rsidP="00227E7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F73363" w14:textId="607B1768" w:rsidR="008325D5" w:rsidRPr="00233EE2" w:rsidRDefault="008325D5" w:rsidP="00233EE2">
      <w:pPr>
        <w:rPr>
          <w:rFonts w:ascii="Open Sans Light" w:hAnsi="Open Sans Light" w:cs="Open Sans Light"/>
          <w:sz w:val="20"/>
          <w:szCs w:val="20"/>
        </w:rPr>
      </w:pPr>
    </w:p>
    <w:p w14:paraId="6D3DE4B2" w14:textId="7A7B716E" w:rsidR="008325D5" w:rsidRDefault="008325D5" w:rsidP="00952E68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</w:p>
    <w:p w14:paraId="6CBB7109" w14:textId="339C7298" w:rsidR="008325D5" w:rsidRDefault="008325D5">
      <w:pPr>
        <w:rPr>
          <w:rFonts w:ascii="Open Sans Light" w:hAnsi="Open Sans Light" w:cs="Open Sans Light"/>
          <w:sz w:val="20"/>
          <w:szCs w:val="20"/>
        </w:rPr>
      </w:pPr>
    </w:p>
    <w:p w14:paraId="46EA21F7" w14:textId="77777777" w:rsidR="008325D5" w:rsidRPr="00E43148" w:rsidRDefault="008325D5" w:rsidP="008325D5">
      <w:pPr>
        <w:pStyle w:val="Heading1"/>
        <w:rPr>
          <w:color w:val="5B9BD5" w:themeColor="accent5"/>
        </w:rPr>
      </w:pPr>
      <w:r>
        <w:rPr>
          <w:color w:val="5B9BD5" w:themeColor="accent5"/>
        </w:rPr>
        <w:t>Appendix A: Improvement Plan</w:t>
      </w:r>
    </w:p>
    <w:p w14:paraId="1F25E523" w14:textId="77777777" w:rsidR="008325D5" w:rsidRDefault="008325D5" w:rsidP="008325D5">
      <w:pPr>
        <w:pStyle w:val="Heading2"/>
      </w:pPr>
    </w:p>
    <w:p w14:paraId="0BD4327B" w14:textId="77777777" w:rsidR="008325D5" w:rsidRPr="00B51EF7" w:rsidRDefault="008325D5" w:rsidP="008325D5">
      <w:pPr>
        <w:pStyle w:val="BodyText"/>
      </w:pPr>
      <w:r w:rsidRPr="00B51EF7">
        <w:t>This IP has been developed specifically for</w:t>
      </w:r>
      <w:r>
        <w:t xml:space="preserve"> Northeast Tennessee Health Care Coalition </w:t>
      </w:r>
      <w:r w:rsidRPr="00B51EF7">
        <w:t xml:space="preserve">as a result of </w:t>
      </w:r>
      <w:r>
        <w:t>Cybersecurity Full Scale Exercise 2022.</w:t>
      </w:r>
    </w:p>
    <w:tbl>
      <w:tblPr>
        <w:tblpPr w:leftFromText="180" w:rightFromText="180" w:vertAnchor="text" w:horzAnchor="margin" w:tblpY="36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866"/>
        <w:gridCol w:w="1358"/>
        <w:gridCol w:w="2277"/>
        <w:gridCol w:w="1656"/>
      </w:tblGrid>
      <w:tr w:rsidR="00C71B9E" w:rsidRPr="00B51EF7" w14:paraId="0B31073E" w14:textId="77777777" w:rsidTr="00C71B9E">
        <w:trPr>
          <w:trHeight w:val="708"/>
          <w:tblHeader/>
        </w:trPr>
        <w:tc>
          <w:tcPr>
            <w:tcW w:w="1648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6A14617" w14:textId="77777777" w:rsidR="00C71B9E" w:rsidRPr="004E1942" w:rsidRDefault="00C71B9E" w:rsidP="00F246EF">
            <w:pPr>
              <w:spacing w:before="40" w:after="40"/>
              <w:ind w:left="-108" w:right="-108"/>
              <w:jc w:val="center"/>
            </w:pPr>
            <w:r w:rsidRPr="004E1942">
              <w:t>Issue/Area for Improvement</w:t>
            </w:r>
          </w:p>
        </w:tc>
        <w:tc>
          <w:tcPr>
            <w:tcW w:w="286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40ABD0A" w14:textId="77777777" w:rsidR="00C71B9E" w:rsidRPr="004E1942" w:rsidRDefault="00C71B9E" w:rsidP="00F246EF">
            <w:pPr>
              <w:spacing w:before="40" w:after="40"/>
              <w:ind w:left="-108" w:right="-108"/>
              <w:jc w:val="center"/>
            </w:pPr>
            <w:r w:rsidRPr="004E1942">
              <w:t>Corrective Action</w:t>
            </w:r>
          </w:p>
        </w:tc>
        <w:tc>
          <w:tcPr>
            <w:tcW w:w="1358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3B031CEC" w14:textId="77777777" w:rsidR="00C71B9E" w:rsidRPr="004E1942" w:rsidRDefault="00C71B9E" w:rsidP="00F246EF">
            <w:pPr>
              <w:spacing w:before="40" w:after="40"/>
              <w:ind w:left="-108" w:right="-108"/>
              <w:jc w:val="center"/>
            </w:pPr>
            <w:r w:rsidRPr="004E1942">
              <w:t>Primary Responsible Organization</w:t>
            </w:r>
          </w:p>
        </w:tc>
        <w:tc>
          <w:tcPr>
            <w:tcW w:w="227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2863D649" w14:textId="77777777" w:rsidR="00C71B9E" w:rsidRPr="004E1942" w:rsidRDefault="00C71B9E" w:rsidP="00F246EF">
            <w:pPr>
              <w:spacing w:before="40" w:after="40"/>
              <w:ind w:left="-108" w:right="-108"/>
              <w:jc w:val="center"/>
            </w:pPr>
            <w:r w:rsidRPr="004E1942">
              <w:t>Start Date</w:t>
            </w:r>
          </w:p>
        </w:tc>
        <w:tc>
          <w:tcPr>
            <w:tcW w:w="1656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1920678B" w14:textId="77777777" w:rsidR="00C71B9E" w:rsidRPr="004E1942" w:rsidRDefault="00C71B9E" w:rsidP="00F246EF">
            <w:pPr>
              <w:spacing w:before="40" w:after="40"/>
              <w:ind w:left="-108" w:right="-108"/>
              <w:jc w:val="center"/>
            </w:pPr>
            <w:r w:rsidRPr="004E1942">
              <w:t>Completion Date</w:t>
            </w:r>
          </w:p>
        </w:tc>
      </w:tr>
      <w:tr w:rsidR="00C71B9E" w:rsidRPr="00B51EF7" w14:paraId="4262504F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72EF9925" w14:textId="6EC1CC9A" w:rsidR="00C71B9E" w:rsidRPr="004E1942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</w:pPr>
            <w:r>
              <w:rPr>
                <w:rFonts w:ascii="Open Sans" w:hAnsi="Open Sans" w:cs="Open Sans"/>
                <w:sz w:val="18"/>
                <w:szCs w:val="18"/>
              </w:rPr>
              <w:t>Hospitals, Long Term Care and EMS are all established in the HRTS system, but other participating coalition members are only established in TNHAN.  There is a need for additional communication with other needed agencies during a disaster.</w:t>
            </w:r>
          </w:p>
        </w:tc>
        <w:tc>
          <w:tcPr>
            <w:tcW w:w="2866" w:type="dxa"/>
            <w:vAlign w:val="center"/>
          </w:tcPr>
          <w:p w14:paraId="6CD30ACD" w14:textId="6CB00212" w:rsidR="00C71B9E" w:rsidRPr="004E1942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proofErr w:type="spellStart"/>
            <w:r>
              <w:t>ReadyOp</w:t>
            </w:r>
            <w:proofErr w:type="spellEnd"/>
            <w:r>
              <w:t xml:space="preserve"> rollout this upcoming year will be an additional opportunity for establishing communication between these agencies. </w:t>
            </w:r>
          </w:p>
        </w:tc>
        <w:tc>
          <w:tcPr>
            <w:tcW w:w="1358" w:type="dxa"/>
            <w:vAlign w:val="center"/>
          </w:tcPr>
          <w:p w14:paraId="77524159" w14:textId="5F2091A6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418D889C" w14:textId="78B6D1BA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6DBE8E34" w14:textId="67CB2E29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5ABC7AA5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17EEA0E1" w14:textId="2D24D223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There is a need for contact lists to be on hand via paper and electronic form.  </w:t>
            </w:r>
          </w:p>
        </w:tc>
        <w:tc>
          <w:tcPr>
            <w:tcW w:w="2866" w:type="dxa"/>
            <w:vAlign w:val="center"/>
          </w:tcPr>
          <w:p w14:paraId="389E8F56" w14:textId="10C78E09" w:rsidR="00C71B9E" w:rsidRPr="004E1942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Ensure that all available contracts are printed and backed up electronically via external drives for mobility.  </w:t>
            </w:r>
          </w:p>
        </w:tc>
        <w:tc>
          <w:tcPr>
            <w:tcW w:w="1358" w:type="dxa"/>
            <w:vAlign w:val="center"/>
          </w:tcPr>
          <w:p w14:paraId="35EDA78A" w14:textId="54F2657F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55C326D3" w14:textId="3245C19D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3AB55CF8" w14:textId="480DFD61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528D2DCE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217E054C" w14:textId="1C0AA617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There is a need to work more closely with EMAs to establish resource request </w:t>
            </w:r>
            <w:r w:rsidR="00933351">
              <w:rPr>
                <w:rFonts w:ascii="Open Sans" w:hAnsi="Open Sans" w:cs="Open Sans"/>
                <w:sz w:val="18"/>
                <w:szCs w:val="18"/>
              </w:rPr>
              <w:t>procedures with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TEMA and identify resources that may be available for coalition members.  </w:t>
            </w:r>
          </w:p>
        </w:tc>
        <w:tc>
          <w:tcPr>
            <w:tcW w:w="2866" w:type="dxa"/>
            <w:vAlign w:val="center"/>
          </w:tcPr>
          <w:p w14:paraId="7A9DE622" w14:textId="73CAFEA6" w:rsidR="00C71B9E" w:rsidRPr="004E1942" w:rsidRDefault="00933351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Continue working with EMA to identify resources that would be available in this type of disaster situation.  Communicate that with the HCC partners. </w:t>
            </w:r>
          </w:p>
        </w:tc>
        <w:tc>
          <w:tcPr>
            <w:tcW w:w="1358" w:type="dxa"/>
            <w:vAlign w:val="center"/>
          </w:tcPr>
          <w:p w14:paraId="1692A908" w14:textId="4439287A" w:rsidR="00C71B9E" w:rsidRPr="004E1942" w:rsidRDefault="00933351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14F5CEC3" w14:textId="39217DE0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3509C311" w14:textId="5BBE531F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58F5F4ED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4E414212" w14:textId="77777777" w:rsidR="00C71B9E" w:rsidRPr="00DE0D7B" w:rsidRDefault="00C71B9E" w:rsidP="00D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DE0D7B">
              <w:rPr>
                <w:rFonts w:ascii="Open Sans" w:hAnsi="Open Sans" w:cs="Open Sans"/>
                <w:sz w:val="18"/>
                <w:szCs w:val="18"/>
              </w:rPr>
              <w:t xml:space="preserve">There was an identified need for expanded training on HAM radio and </w:t>
            </w:r>
            <w:proofErr w:type="spellStart"/>
            <w:r w:rsidRPr="00DE0D7B">
              <w:rPr>
                <w:rFonts w:ascii="Open Sans" w:hAnsi="Open Sans" w:cs="Open Sans"/>
                <w:sz w:val="18"/>
                <w:szCs w:val="18"/>
              </w:rPr>
              <w:t>Winlink</w:t>
            </w:r>
            <w:proofErr w:type="spellEnd"/>
            <w:r w:rsidRPr="00DE0D7B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55EC4B58" w14:textId="77777777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65134AFB" w14:textId="29812216" w:rsidR="00C71B9E" w:rsidRPr="004E1942" w:rsidRDefault="00933351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Establish a HAM training class for coalition members. </w:t>
            </w:r>
          </w:p>
        </w:tc>
        <w:tc>
          <w:tcPr>
            <w:tcW w:w="1358" w:type="dxa"/>
            <w:vAlign w:val="center"/>
          </w:tcPr>
          <w:p w14:paraId="30305B1F" w14:textId="1E986F5C" w:rsidR="00C71B9E" w:rsidRPr="004E1942" w:rsidRDefault="00933351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76B17585" w14:textId="54E6CC0C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10F66E66" w14:textId="2F87A0C8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7656B561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008B7F79" w14:textId="0B66A16D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Many facilities emergency phones were mobile based and would not work in this scenario.</w:t>
            </w:r>
          </w:p>
        </w:tc>
        <w:tc>
          <w:tcPr>
            <w:tcW w:w="2866" w:type="dxa"/>
            <w:vAlign w:val="center"/>
          </w:tcPr>
          <w:p w14:paraId="02A60879" w14:textId="69282822" w:rsidR="00C71B9E" w:rsidRPr="004E1942" w:rsidRDefault="00933351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Establish additional backup communication methods.  </w:t>
            </w:r>
          </w:p>
        </w:tc>
        <w:tc>
          <w:tcPr>
            <w:tcW w:w="1358" w:type="dxa"/>
            <w:vAlign w:val="center"/>
          </w:tcPr>
          <w:p w14:paraId="369FB053" w14:textId="44403956" w:rsidR="00C71B9E" w:rsidRPr="004E1942" w:rsidRDefault="00933351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 and EMA</w:t>
            </w:r>
          </w:p>
        </w:tc>
        <w:tc>
          <w:tcPr>
            <w:tcW w:w="2277" w:type="dxa"/>
            <w:vAlign w:val="center"/>
          </w:tcPr>
          <w:p w14:paraId="4882FE58" w14:textId="352EC1C0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64644923" w14:textId="012FEE4E" w:rsidR="00C71B9E" w:rsidRPr="004E1942" w:rsidRDefault="00C71B9E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640DEC7A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691F4421" w14:textId="1636327A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There are some transport agencies that may have no backup power.  </w:t>
            </w:r>
          </w:p>
        </w:tc>
        <w:tc>
          <w:tcPr>
            <w:tcW w:w="2866" w:type="dxa"/>
            <w:vAlign w:val="center"/>
          </w:tcPr>
          <w:p w14:paraId="6F85A092" w14:textId="1411FE14" w:rsidR="00C71B9E" w:rsidRPr="004E1942" w:rsidRDefault="00183105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Identify backup power options for smaller transport agencies. </w:t>
            </w:r>
          </w:p>
        </w:tc>
        <w:tc>
          <w:tcPr>
            <w:tcW w:w="1358" w:type="dxa"/>
            <w:vAlign w:val="center"/>
          </w:tcPr>
          <w:p w14:paraId="746DE12B" w14:textId="2BD3D9C3" w:rsidR="00C71B9E" w:rsidRPr="004E1942" w:rsidRDefault="00933351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RHCs, EMS consultant</w:t>
            </w:r>
          </w:p>
        </w:tc>
        <w:tc>
          <w:tcPr>
            <w:tcW w:w="2277" w:type="dxa"/>
            <w:vAlign w:val="center"/>
          </w:tcPr>
          <w:p w14:paraId="3CAA234C" w14:textId="26D93A6E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6618E4C9" w14:textId="36DE5DE2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2F2B1F64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565ADB27" w14:textId="1AC4B8E3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Many agencies identified a need for additional radios and batteries.</w:t>
            </w:r>
          </w:p>
        </w:tc>
        <w:tc>
          <w:tcPr>
            <w:tcW w:w="2866" w:type="dxa"/>
            <w:vAlign w:val="center"/>
          </w:tcPr>
          <w:p w14:paraId="76965589" w14:textId="6ECF999A" w:rsidR="00C71B9E" w:rsidRPr="004E1942" w:rsidRDefault="00183105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Assist agencies to identify radios for interoperability in the region. </w:t>
            </w:r>
          </w:p>
        </w:tc>
        <w:tc>
          <w:tcPr>
            <w:tcW w:w="1358" w:type="dxa"/>
            <w:vAlign w:val="center"/>
          </w:tcPr>
          <w:p w14:paraId="005C57F8" w14:textId="343FE30E" w:rsidR="00C71B9E" w:rsidRPr="004E1942" w:rsidRDefault="00C87852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RHCs, RMCC</w:t>
            </w:r>
          </w:p>
        </w:tc>
        <w:tc>
          <w:tcPr>
            <w:tcW w:w="2277" w:type="dxa"/>
            <w:vAlign w:val="center"/>
          </w:tcPr>
          <w:p w14:paraId="3E39E833" w14:textId="76A34315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4E8DC0D2" w14:textId="0BC484FE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44546C74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0A268028" w14:textId="0943F80C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 w:rsidRPr="00DF066A">
              <w:rPr>
                <w:rFonts w:ascii="Open Sans" w:hAnsi="Open Sans" w:cs="Open Sans"/>
                <w:sz w:val="18"/>
                <w:szCs w:val="18"/>
              </w:rPr>
              <w:t>There is a need to establish patient tracking procedures and processes for Long Term Care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 an update for hospitals and EMS.  </w:t>
            </w:r>
          </w:p>
        </w:tc>
        <w:tc>
          <w:tcPr>
            <w:tcW w:w="2866" w:type="dxa"/>
            <w:vAlign w:val="center"/>
          </w:tcPr>
          <w:p w14:paraId="020F3515" w14:textId="36BA7918" w:rsidR="00C71B9E" w:rsidRPr="004E1942" w:rsidRDefault="00183105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Patient tracking training needed in the region. </w:t>
            </w:r>
          </w:p>
        </w:tc>
        <w:tc>
          <w:tcPr>
            <w:tcW w:w="1358" w:type="dxa"/>
            <w:vAlign w:val="center"/>
          </w:tcPr>
          <w:p w14:paraId="1C742319" w14:textId="6C3CFA18" w:rsidR="00C71B9E" w:rsidRPr="004E1942" w:rsidRDefault="00C87852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1669B4F5" w14:textId="70517483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704FE6C1" w14:textId="0D2EB3B5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5CB8BF70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5549B6AB" w14:textId="7AA71EBE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Cell Phone and Voice over IP (VOIP) would not work in this scenario</w:t>
            </w:r>
            <w:r w:rsidR="00183105">
              <w:rPr>
                <w:rFonts w:ascii="Open Sans" w:hAnsi="Open Sans" w:cs="Open Sans"/>
                <w:sz w:val="18"/>
                <w:szCs w:val="18"/>
              </w:rPr>
              <w:t xml:space="preserve"> which many facilities use routinely for correspondence. </w:t>
            </w:r>
          </w:p>
        </w:tc>
        <w:tc>
          <w:tcPr>
            <w:tcW w:w="2866" w:type="dxa"/>
            <w:vAlign w:val="center"/>
          </w:tcPr>
          <w:p w14:paraId="07F1A753" w14:textId="75C3BABB" w:rsidR="00C71B9E" w:rsidRPr="004E1942" w:rsidRDefault="00183105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Consider communication procedures with no cell phone or phone communication. </w:t>
            </w:r>
          </w:p>
        </w:tc>
        <w:tc>
          <w:tcPr>
            <w:tcW w:w="1358" w:type="dxa"/>
            <w:vAlign w:val="center"/>
          </w:tcPr>
          <w:p w14:paraId="5CACCF87" w14:textId="411880C3" w:rsidR="00C71B9E" w:rsidRPr="004E1942" w:rsidRDefault="00C87852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287B9CF9" w14:textId="7FEFB767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2941CF41" w14:textId="53B0D968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0D22E2EC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2953BA43" w14:textId="18BFE1E7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Due to exercise </w:t>
            </w:r>
            <w:r w:rsidR="00C87852">
              <w:rPr>
                <w:rFonts w:ascii="Open Sans" w:hAnsi="Open Sans" w:cs="Open Sans"/>
                <w:sz w:val="18"/>
                <w:szCs w:val="18"/>
              </w:rPr>
              <w:t xml:space="preserve">design, </w:t>
            </w:r>
            <w:r>
              <w:rPr>
                <w:rFonts w:ascii="Open Sans" w:hAnsi="Open Sans" w:cs="Open Sans"/>
                <w:sz w:val="18"/>
                <w:szCs w:val="18"/>
              </w:rPr>
              <w:t>RMCC was not aware of all patient transfer needs.</w:t>
            </w:r>
          </w:p>
        </w:tc>
        <w:tc>
          <w:tcPr>
            <w:tcW w:w="2866" w:type="dxa"/>
            <w:vAlign w:val="center"/>
          </w:tcPr>
          <w:p w14:paraId="0C1D6F84" w14:textId="00556A97" w:rsidR="00C71B9E" w:rsidRPr="004E1942" w:rsidRDefault="00C87852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Ensure that all patient transfer needs are sent to RMCC including helicopter requests. </w:t>
            </w:r>
          </w:p>
        </w:tc>
        <w:tc>
          <w:tcPr>
            <w:tcW w:w="1358" w:type="dxa"/>
            <w:vAlign w:val="center"/>
          </w:tcPr>
          <w:p w14:paraId="604BBFE4" w14:textId="7BF3B73F" w:rsidR="00C71B9E" w:rsidRPr="004E1942" w:rsidRDefault="00C87852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RMCC, RHCs</w:t>
            </w:r>
          </w:p>
        </w:tc>
        <w:tc>
          <w:tcPr>
            <w:tcW w:w="2277" w:type="dxa"/>
            <w:vAlign w:val="center"/>
          </w:tcPr>
          <w:p w14:paraId="01769875" w14:textId="2A5BE753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3DC36C6A" w14:textId="42913C87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06E51789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5BE18BBE" w14:textId="6FC2731F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There is a need to make sure that all transports available are identified in real time.  Updates to HRTS do not </w:t>
            </w: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happen at regular intervals due to smaller agencies not having available staff to update.</w:t>
            </w:r>
          </w:p>
        </w:tc>
        <w:tc>
          <w:tcPr>
            <w:tcW w:w="2866" w:type="dxa"/>
            <w:vAlign w:val="center"/>
          </w:tcPr>
          <w:p w14:paraId="76BAD60E" w14:textId="1DC6F710" w:rsidR="00C71B9E" w:rsidRPr="004E1942" w:rsidRDefault="00C87852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lastRenderedPageBreak/>
              <w:t>EMS consultant to assist with updates in HRTS.</w:t>
            </w:r>
          </w:p>
        </w:tc>
        <w:tc>
          <w:tcPr>
            <w:tcW w:w="1358" w:type="dxa"/>
            <w:vAlign w:val="center"/>
          </w:tcPr>
          <w:p w14:paraId="78B2D5B6" w14:textId="06462CFC" w:rsidR="00C71B9E" w:rsidRPr="004E1942" w:rsidRDefault="00C87852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EMS consultant</w:t>
            </w:r>
          </w:p>
        </w:tc>
        <w:tc>
          <w:tcPr>
            <w:tcW w:w="2277" w:type="dxa"/>
            <w:vAlign w:val="center"/>
          </w:tcPr>
          <w:p w14:paraId="29A64817" w14:textId="22C62D33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6B285F83" w14:textId="58CBE766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69EEED52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19ECA7DA" w14:textId="40EE3C70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There was an identified need for a refrigerated truck in the region to support Forensics Center in case of extended power outage.</w:t>
            </w:r>
          </w:p>
        </w:tc>
        <w:tc>
          <w:tcPr>
            <w:tcW w:w="2866" w:type="dxa"/>
            <w:vAlign w:val="center"/>
          </w:tcPr>
          <w:p w14:paraId="26F0119E" w14:textId="52F7F6BD" w:rsidR="00C71B9E" w:rsidRPr="004E1942" w:rsidRDefault="00C87852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Consider additional regional resource projects related to refrigerated trucks. </w:t>
            </w:r>
          </w:p>
        </w:tc>
        <w:tc>
          <w:tcPr>
            <w:tcW w:w="1358" w:type="dxa"/>
            <w:vAlign w:val="center"/>
          </w:tcPr>
          <w:p w14:paraId="62E08F72" w14:textId="13B78A05" w:rsidR="00C71B9E" w:rsidRPr="004E1942" w:rsidRDefault="00C87852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06C90175" w14:textId="27C0D366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6849953B" w14:textId="21792486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  <w:tr w:rsidR="00C71B9E" w:rsidRPr="00B51EF7" w14:paraId="3FF8CE5D" w14:textId="77777777" w:rsidTr="00C71B9E">
        <w:trPr>
          <w:trHeight w:val="165"/>
        </w:trPr>
        <w:tc>
          <w:tcPr>
            <w:tcW w:w="1648" w:type="dxa"/>
            <w:vAlign w:val="center"/>
          </w:tcPr>
          <w:p w14:paraId="6F85E063" w14:textId="13670122" w:rsidR="00C71B9E" w:rsidRDefault="00C71B9E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There was an identified need for additional blood in the region during this type of disaster and a need for establishing communication with the HCC and the blood centers. </w:t>
            </w:r>
          </w:p>
        </w:tc>
        <w:tc>
          <w:tcPr>
            <w:tcW w:w="2866" w:type="dxa"/>
            <w:vAlign w:val="center"/>
          </w:tcPr>
          <w:p w14:paraId="7DFE1F76" w14:textId="471679CF" w:rsidR="00C71B9E" w:rsidRPr="004E1942" w:rsidRDefault="00C87852" w:rsidP="00F246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</w:pPr>
            <w:r>
              <w:t xml:space="preserve">Establish communication with Marsh as the regional blood supplier and consider other outside region options. </w:t>
            </w:r>
          </w:p>
        </w:tc>
        <w:tc>
          <w:tcPr>
            <w:tcW w:w="1358" w:type="dxa"/>
            <w:vAlign w:val="center"/>
          </w:tcPr>
          <w:p w14:paraId="1909E87B" w14:textId="6397EBBD" w:rsidR="00C71B9E" w:rsidRPr="004E1942" w:rsidRDefault="00C87852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RHCs</w:t>
            </w:r>
          </w:p>
        </w:tc>
        <w:tc>
          <w:tcPr>
            <w:tcW w:w="2277" w:type="dxa"/>
            <w:vAlign w:val="center"/>
          </w:tcPr>
          <w:p w14:paraId="2896D4E0" w14:textId="2B7AA9AD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July 1, 2022</w:t>
            </w:r>
          </w:p>
        </w:tc>
        <w:tc>
          <w:tcPr>
            <w:tcW w:w="1656" w:type="dxa"/>
            <w:tcBorders>
              <w:right w:val="single" w:sz="4" w:space="0" w:color="000080"/>
            </w:tcBorders>
            <w:vAlign w:val="center"/>
          </w:tcPr>
          <w:p w14:paraId="3D7155E4" w14:textId="3F7AF4CF" w:rsidR="00C71B9E" w:rsidRPr="004E1942" w:rsidRDefault="00BE335A" w:rsidP="00F24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</w:pPr>
            <w:r>
              <w:t>June 30, 2023</w:t>
            </w:r>
          </w:p>
        </w:tc>
      </w:tr>
    </w:tbl>
    <w:p w14:paraId="1D1EF001" w14:textId="77777777" w:rsidR="008325D5" w:rsidRPr="00427B53" w:rsidRDefault="008325D5" w:rsidP="00952E68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</w:p>
    <w:p w14:paraId="29084757" w14:textId="77777777" w:rsidR="00952E68" w:rsidRPr="00952E68" w:rsidRDefault="00952E68" w:rsidP="00952E68">
      <w:pPr>
        <w:rPr>
          <w:rFonts w:ascii="Open Sans Light" w:hAnsi="Open Sans Light" w:cs="Open Sans Light"/>
          <w:sz w:val="20"/>
          <w:szCs w:val="20"/>
        </w:rPr>
      </w:pPr>
    </w:p>
    <w:sectPr w:rsidR="00952E68" w:rsidRPr="00952E68" w:rsidSect="0081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7B0F9" w14:textId="77777777" w:rsidR="00817BEA" w:rsidRDefault="00817BEA" w:rsidP="00463463">
      <w:r>
        <w:separator/>
      </w:r>
    </w:p>
  </w:endnote>
  <w:endnote w:type="continuationSeparator" w:id="0">
    <w:p w14:paraId="7C75A85E" w14:textId="77777777" w:rsidR="00817BEA" w:rsidRDefault="00817BEA" w:rsidP="0046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altName w:val="Arial"/>
    <w:panose1 w:val="00000000000000000000"/>
    <w:charset w:val="00"/>
    <w:family w:val="auto"/>
    <w:notTrueType/>
    <w:pitch w:val="variable"/>
    <w:sig w:usb0="A000022F" w:usb1="4000A46A" w:usb2="00000000" w:usb3="00000000" w:csb0="00000007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719E" w14:textId="07F26E99" w:rsidR="00463463" w:rsidRPr="00463463" w:rsidRDefault="00463463" w:rsidP="00463463">
    <w:pPr>
      <w:pStyle w:val="Footer"/>
      <w:tabs>
        <w:tab w:val="clear" w:pos="4680"/>
        <w:tab w:val="clear" w:pos="9360"/>
        <w:tab w:val="right" w:pos="9270"/>
      </w:tabs>
      <w:rPr>
        <w:rFonts w:ascii="Open Sans Light" w:hAnsi="Open Sans Light" w:cs="Open Sans Light"/>
        <w:sz w:val="16"/>
        <w:szCs w:val="16"/>
      </w:rPr>
    </w:pPr>
    <w:r w:rsidRPr="00463463">
      <w:rPr>
        <w:rFonts w:ascii="Open Sans Light" w:hAnsi="Open Sans Light" w:cs="Open Sans Light"/>
        <w:sz w:val="16"/>
        <w:szCs w:val="16"/>
      </w:rPr>
      <w:t>Incident Report</w:t>
    </w:r>
    <w:r w:rsidR="00D801F8">
      <w:rPr>
        <w:rFonts w:ascii="Open Sans Light" w:hAnsi="Open Sans Light" w:cs="Open Sans Light"/>
        <w:sz w:val="16"/>
        <w:szCs w:val="16"/>
      </w:rPr>
      <w:t xml:space="preserve"> / After-Action Review</w:t>
    </w:r>
    <w:r w:rsidRPr="00463463">
      <w:rPr>
        <w:rFonts w:ascii="Open Sans Light" w:hAnsi="Open Sans Light" w:cs="Open Sans Light"/>
        <w:sz w:val="16"/>
        <w:szCs w:val="16"/>
      </w:rPr>
      <w:tab/>
    </w:r>
    <w:r w:rsidR="0098012C">
      <w:rPr>
        <w:rFonts w:ascii="Open Sans Light" w:hAnsi="Open Sans Light" w:cs="Open Sans Light"/>
        <w:sz w:val="16"/>
        <w:szCs w:val="16"/>
      </w:rPr>
      <w:t>May 4,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72A5" w14:textId="77777777" w:rsidR="00817BEA" w:rsidRDefault="00817BEA" w:rsidP="00463463">
      <w:r>
        <w:separator/>
      </w:r>
    </w:p>
  </w:footnote>
  <w:footnote w:type="continuationSeparator" w:id="0">
    <w:p w14:paraId="11B1B96D" w14:textId="77777777" w:rsidR="00817BEA" w:rsidRDefault="00817BEA" w:rsidP="0046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4C2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7025D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D3F1C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CA5B20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A53C3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A5FD2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EEA4069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F300C"/>
    <w:multiLevelType w:val="hybridMultilevel"/>
    <w:tmpl w:val="0BDE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E566A"/>
    <w:multiLevelType w:val="hybridMultilevel"/>
    <w:tmpl w:val="09C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20D7A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8F41828"/>
    <w:multiLevelType w:val="hybridMultilevel"/>
    <w:tmpl w:val="E42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08A5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650C9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C59C3"/>
    <w:multiLevelType w:val="hybridMultilevel"/>
    <w:tmpl w:val="C0A28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07E7A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97B81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88C587F"/>
    <w:multiLevelType w:val="hybridMultilevel"/>
    <w:tmpl w:val="6E52DDD8"/>
    <w:lvl w:ilvl="0" w:tplc="7F5A36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pacing w:val="0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745F7"/>
    <w:multiLevelType w:val="hybridMultilevel"/>
    <w:tmpl w:val="A670A6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53F56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FDE3A57"/>
    <w:multiLevelType w:val="hybridMultilevel"/>
    <w:tmpl w:val="D9A2CABE"/>
    <w:lvl w:ilvl="0" w:tplc="C5DA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2130E"/>
    <w:multiLevelType w:val="hybridMultilevel"/>
    <w:tmpl w:val="77627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B45B3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55152B3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61F24F8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74828BE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5151F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750E4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050A1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CF4CDF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A087B95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43A81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E47B5"/>
    <w:multiLevelType w:val="hybridMultilevel"/>
    <w:tmpl w:val="0540B43A"/>
    <w:lvl w:ilvl="0" w:tplc="C5DA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57104"/>
    <w:multiLevelType w:val="hybridMultilevel"/>
    <w:tmpl w:val="D84C70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F0551D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F21B07"/>
    <w:multiLevelType w:val="hybridMultilevel"/>
    <w:tmpl w:val="A9EAF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6AE4B70"/>
    <w:multiLevelType w:val="hybridMultilevel"/>
    <w:tmpl w:val="8670D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20F76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44458D"/>
    <w:multiLevelType w:val="hybridMultilevel"/>
    <w:tmpl w:val="5C54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1"/>
  </w:num>
  <w:num w:numId="3">
    <w:abstractNumId w:val="36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37"/>
  </w:num>
  <w:num w:numId="10">
    <w:abstractNumId w:val="27"/>
  </w:num>
  <w:num w:numId="11">
    <w:abstractNumId w:val="0"/>
  </w:num>
  <w:num w:numId="12">
    <w:abstractNumId w:val="14"/>
  </w:num>
  <w:num w:numId="13">
    <w:abstractNumId w:val="26"/>
  </w:num>
  <w:num w:numId="14">
    <w:abstractNumId w:val="33"/>
  </w:num>
  <w:num w:numId="15">
    <w:abstractNumId w:val="30"/>
  </w:num>
  <w:num w:numId="16">
    <w:abstractNumId w:val="25"/>
  </w:num>
  <w:num w:numId="17">
    <w:abstractNumId w:val="35"/>
  </w:num>
  <w:num w:numId="18">
    <w:abstractNumId w:val="32"/>
  </w:num>
  <w:num w:numId="19">
    <w:abstractNumId w:val="17"/>
  </w:num>
  <w:num w:numId="20">
    <w:abstractNumId w:val="7"/>
  </w:num>
  <w:num w:numId="21">
    <w:abstractNumId w:val="24"/>
  </w:num>
  <w:num w:numId="22">
    <w:abstractNumId w:val="11"/>
  </w:num>
  <w:num w:numId="23">
    <w:abstractNumId w:val="12"/>
  </w:num>
  <w:num w:numId="24">
    <w:abstractNumId w:val="29"/>
  </w:num>
  <w:num w:numId="25">
    <w:abstractNumId w:val="22"/>
  </w:num>
  <w:num w:numId="26">
    <w:abstractNumId w:val="28"/>
  </w:num>
  <w:num w:numId="27">
    <w:abstractNumId w:val="34"/>
  </w:num>
  <w:num w:numId="28">
    <w:abstractNumId w:val="23"/>
  </w:num>
  <w:num w:numId="29">
    <w:abstractNumId w:val="15"/>
  </w:num>
  <w:num w:numId="30">
    <w:abstractNumId w:val="18"/>
  </w:num>
  <w:num w:numId="31">
    <w:abstractNumId w:val="2"/>
  </w:num>
  <w:num w:numId="32">
    <w:abstractNumId w:val="21"/>
  </w:num>
  <w:num w:numId="33">
    <w:abstractNumId w:val="5"/>
  </w:num>
  <w:num w:numId="34">
    <w:abstractNumId w:val="9"/>
  </w:num>
  <w:num w:numId="35">
    <w:abstractNumId w:val="16"/>
  </w:num>
  <w:num w:numId="36">
    <w:abstractNumId w:val="8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MgcSxiaGFuaGZko6SsGpxcWZ+XkgBYa1AI1zThcsAAAA"/>
  </w:docVars>
  <w:rsids>
    <w:rsidRoot w:val="00360987"/>
    <w:rsid w:val="00055B48"/>
    <w:rsid w:val="00063EEC"/>
    <w:rsid w:val="000B3099"/>
    <w:rsid w:val="000D0A88"/>
    <w:rsid w:val="000D718E"/>
    <w:rsid w:val="000D7DBF"/>
    <w:rsid w:val="000E69C5"/>
    <w:rsid w:val="001020BA"/>
    <w:rsid w:val="00113790"/>
    <w:rsid w:val="00173F21"/>
    <w:rsid w:val="00183105"/>
    <w:rsid w:val="001D3DBD"/>
    <w:rsid w:val="00225A2F"/>
    <w:rsid w:val="00227439"/>
    <w:rsid w:val="00227E7C"/>
    <w:rsid w:val="00233EE2"/>
    <w:rsid w:val="0027664F"/>
    <w:rsid w:val="0027697A"/>
    <w:rsid w:val="00286541"/>
    <w:rsid w:val="002A74DB"/>
    <w:rsid w:val="002F5F97"/>
    <w:rsid w:val="0031631B"/>
    <w:rsid w:val="00323CD6"/>
    <w:rsid w:val="00360987"/>
    <w:rsid w:val="003B62CC"/>
    <w:rsid w:val="003C49D6"/>
    <w:rsid w:val="003E18F9"/>
    <w:rsid w:val="003E503E"/>
    <w:rsid w:val="003F2B4F"/>
    <w:rsid w:val="00422847"/>
    <w:rsid w:val="00427B53"/>
    <w:rsid w:val="00433ED2"/>
    <w:rsid w:val="00443DB1"/>
    <w:rsid w:val="00463463"/>
    <w:rsid w:val="00492B29"/>
    <w:rsid w:val="00493C3B"/>
    <w:rsid w:val="004E5ED3"/>
    <w:rsid w:val="00545D3B"/>
    <w:rsid w:val="00562E59"/>
    <w:rsid w:val="00574B77"/>
    <w:rsid w:val="00591D07"/>
    <w:rsid w:val="005E50D1"/>
    <w:rsid w:val="00610907"/>
    <w:rsid w:val="006167BC"/>
    <w:rsid w:val="006325C3"/>
    <w:rsid w:val="006C0D7F"/>
    <w:rsid w:val="006E3C17"/>
    <w:rsid w:val="007171A4"/>
    <w:rsid w:val="007349C1"/>
    <w:rsid w:val="00797849"/>
    <w:rsid w:val="007B05AB"/>
    <w:rsid w:val="007C7112"/>
    <w:rsid w:val="007E0CEB"/>
    <w:rsid w:val="00817BEA"/>
    <w:rsid w:val="00817BF4"/>
    <w:rsid w:val="008325D5"/>
    <w:rsid w:val="00893561"/>
    <w:rsid w:val="008937C8"/>
    <w:rsid w:val="008A63E0"/>
    <w:rsid w:val="008F428A"/>
    <w:rsid w:val="00900B87"/>
    <w:rsid w:val="00933351"/>
    <w:rsid w:val="00940224"/>
    <w:rsid w:val="00940694"/>
    <w:rsid w:val="00952E68"/>
    <w:rsid w:val="009628AA"/>
    <w:rsid w:val="0098012C"/>
    <w:rsid w:val="009A54F7"/>
    <w:rsid w:val="009A73C4"/>
    <w:rsid w:val="009C4C79"/>
    <w:rsid w:val="009D7CB8"/>
    <w:rsid w:val="009E299C"/>
    <w:rsid w:val="00A030F5"/>
    <w:rsid w:val="00A040A7"/>
    <w:rsid w:val="00A13FA4"/>
    <w:rsid w:val="00A2214D"/>
    <w:rsid w:val="00A511E8"/>
    <w:rsid w:val="00A63AEB"/>
    <w:rsid w:val="00A711FA"/>
    <w:rsid w:val="00A7785A"/>
    <w:rsid w:val="00AA5A72"/>
    <w:rsid w:val="00B12FF2"/>
    <w:rsid w:val="00B42234"/>
    <w:rsid w:val="00B751A9"/>
    <w:rsid w:val="00B95855"/>
    <w:rsid w:val="00BE27D8"/>
    <w:rsid w:val="00BE335A"/>
    <w:rsid w:val="00C07210"/>
    <w:rsid w:val="00C231F8"/>
    <w:rsid w:val="00C71B9E"/>
    <w:rsid w:val="00C83E86"/>
    <w:rsid w:val="00C87852"/>
    <w:rsid w:val="00CC3D00"/>
    <w:rsid w:val="00CC590C"/>
    <w:rsid w:val="00D00920"/>
    <w:rsid w:val="00D26322"/>
    <w:rsid w:val="00D411C3"/>
    <w:rsid w:val="00D60D4C"/>
    <w:rsid w:val="00D66650"/>
    <w:rsid w:val="00D801F8"/>
    <w:rsid w:val="00DA188B"/>
    <w:rsid w:val="00DA1DCC"/>
    <w:rsid w:val="00DA4780"/>
    <w:rsid w:val="00DC4A47"/>
    <w:rsid w:val="00DE0D7B"/>
    <w:rsid w:val="00DE48C1"/>
    <w:rsid w:val="00DF066A"/>
    <w:rsid w:val="00DF3BBB"/>
    <w:rsid w:val="00E15A55"/>
    <w:rsid w:val="00E278C7"/>
    <w:rsid w:val="00E46FF8"/>
    <w:rsid w:val="00E65128"/>
    <w:rsid w:val="00EA0632"/>
    <w:rsid w:val="00ED4F0F"/>
    <w:rsid w:val="00F529AA"/>
    <w:rsid w:val="00F7773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0977"/>
  <w15:chartTrackingRefBased/>
  <w15:docId w15:val="{AFED9016-FE31-B04E-B9B7-70A117D5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D5"/>
    <w:pPr>
      <w:spacing w:after="120"/>
      <w:outlineLvl w:val="0"/>
    </w:pPr>
    <w:rPr>
      <w:rFonts w:ascii="PermianSlabSerifTypeface" w:eastAsiaTheme="minorHAnsi" w:hAnsi="PermianSlabSerifTypeface" w:cs="Open Sans"/>
      <w:b/>
      <w:bCs/>
      <w:color w:val="75787B"/>
      <w:spacing w:val="-20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D5"/>
    <w:pPr>
      <w:spacing w:after="60"/>
      <w:outlineLvl w:val="1"/>
    </w:pPr>
    <w:rPr>
      <w:rFonts w:ascii="Open Sans" w:eastAsiaTheme="minorHAnsi" w:hAnsi="Open Sans" w:cs="Open Sans"/>
      <w:b/>
      <w:bCs/>
      <w:i/>
      <w:color w:val="1B365D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463"/>
  </w:style>
  <w:style w:type="paragraph" w:styleId="Footer">
    <w:name w:val="footer"/>
    <w:basedOn w:val="Normal"/>
    <w:link w:val="FooterChar"/>
    <w:uiPriority w:val="99"/>
    <w:unhideWhenUsed/>
    <w:rsid w:val="0046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463"/>
  </w:style>
  <w:style w:type="paragraph" w:styleId="ListParagraph">
    <w:name w:val="List Paragraph"/>
    <w:basedOn w:val="Normal"/>
    <w:uiPriority w:val="34"/>
    <w:qFormat/>
    <w:rsid w:val="00DF3B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7C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D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D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D5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25D5"/>
    <w:rPr>
      <w:rFonts w:ascii="PermianSlabSerifTypeface" w:hAnsi="PermianSlabSerifTypeface" w:cs="Open Sans"/>
      <w:b/>
      <w:bCs/>
      <w:color w:val="75787B"/>
      <w:spacing w:val="-20"/>
      <w:sz w:val="4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8325D5"/>
    <w:rPr>
      <w:rFonts w:ascii="Open Sans" w:hAnsi="Open Sans" w:cs="Open Sans"/>
      <w:b/>
      <w:bCs/>
      <w:i/>
      <w:color w:val="1B365D"/>
      <w:sz w:val="28"/>
      <w:szCs w:val="21"/>
    </w:rPr>
  </w:style>
  <w:style w:type="paragraph" w:styleId="FootnoteText">
    <w:name w:val="footnote text"/>
    <w:basedOn w:val="Normal"/>
    <w:link w:val="FootnoteTextChar"/>
    <w:unhideWhenUsed/>
    <w:rsid w:val="008325D5"/>
    <w:pPr>
      <w:spacing w:after="360"/>
    </w:pPr>
    <w:rPr>
      <w:rFonts w:ascii="Open Sans" w:eastAsiaTheme="minorHAnsi" w:hAnsi="Open Sans" w:cs="Open Sans"/>
      <w:bCs/>
      <w:sz w:val="21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25D5"/>
    <w:rPr>
      <w:rFonts w:ascii="Open Sans" w:hAnsi="Open Sans" w:cs="Open Sans"/>
      <w:bCs/>
      <w:sz w:val="21"/>
      <w:szCs w:val="20"/>
    </w:rPr>
  </w:style>
  <w:style w:type="character" w:styleId="FootnoteReference">
    <w:name w:val="footnote reference"/>
    <w:basedOn w:val="DefaultParagraphFont"/>
    <w:unhideWhenUsed/>
    <w:rsid w:val="008325D5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8325D5"/>
    <w:pPr>
      <w:spacing w:after="120" w:line="300" w:lineRule="auto"/>
    </w:pPr>
    <w:rPr>
      <w:rFonts w:ascii="Open Sans" w:eastAsiaTheme="minorHAnsi" w:hAnsi="Open Sans" w:cs="Open Sans"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8325D5"/>
    <w:rPr>
      <w:rFonts w:ascii="Open Sans" w:hAnsi="Open Sans" w:cs="Open Sans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cher\AppData\Local\Microsoft\Windows\INetCache\Content.Outlook\IKEB79SV\NTHPC_AARI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0AA2D3-3E38-41A7-A9FF-2E887EC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NTHPC_AARIP_template</Template>
  <TotalTime>0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Keshia Fletcher</cp:lastModifiedBy>
  <cp:revision>3</cp:revision>
  <cp:lastPrinted>2021-06-21T14:39:00Z</cp:lastPrinted>
  <dcterms:created xsi:type="dcterms:W3CDTF">2022-08-09T13:57:00Z</dcterms:created>
  <dcterms:modified xsi:type="dcterms:W3CDTF">2022-08-09T13:57:00Z</dcterms:modified>
</cp:coreProperties>
</file>